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235AE" w14:textId="77777777" w:rsidR="006C089E" w:rsidRPr="006C089E" w:rsidRDefault="006C089E" w:rsidP="006C089E">
      <w:pPr>
        <w:spacing w:before="72" w:after="360" w:line="240" w:lineRule="auto"/>
        <w:ind w:hanging="240"/>
        <w:outlineLvl w:val="0"/>
        <w:rPr>
          <w:rFonts w:ascii="Times New Roman" w:eastAsia="Times New Roman" w:hAnsi="Times New Roman" w:cs="Times New Roman"/>
          <w:b/>
          <w:bCs/>
          <w:kern w:val="36"/>
          <w:sz w:val="40"/>
          <w:szCs w:val="40"/>
        </w:rPr>
      </w:pPr>
      <w:r w:rsidRPr="006C089E">
        <w:rPr>
          <w:rFonts w:ascii="Times New Roman" w:eastAsia="Times New Roman" w:hAnsi="Times New Roman" w:cs="Times New Roman"/>
          <w:b/>
          <w:bCs/>
          <w:color w:val="B5B5B5"/>
          <w:kern w:val="36"/>
          <w:sz w:val="40"/>
          <w:szCs w:val="40"/>
        </w:rPr>
        <w:t>2</w:t>
      </w:r>
      <w:r w:rsidRPr="006C089E">
        <w:rPr>
          <w:rFonts w:ascii="Times New Roman" w:eastAsia="Times New Roman" w:hAnsi="Times New Roman" w:cs="Times New Roman"/>
          <w:b/>
          <w:bCs/>
          <w:kern w:val="36"/>
          <w:sz w:val="40"/>
          <w:szCs w:val="40"/>
        </w:rPr>
        <w:t> Accounting Theory and Accounting Research</w:t>
      </w:r>
    </w:p>
    <w:p w14:paraId="6DE25409" w14:textId="77777777" w:rsidR="006C089E" w:rsidRPr="006C089E" w:rsidRDefault="006C089E" w:rsidP="006C089E">
      <w:pPr>
        <w:spacing w:before="240" w:after="0" w:line="240" w:lineRule="auto"/>
        <w:outlineLvl w:val="0"/>
        <w:rPr>
          <w:rFonts w:ascii="Times New Roman" w:eastAsia="Times New Roman" w:hAnsi="Times New Roman" w:cs="Times New Roman"/>
          <w:b/>
          <w:bCs/>
          <w:kern w:val="36"/>
          <w:sz w:val="29"/>
          <w:szCs w:val="29"/>
        </w:rPr>
      </w:pPr>
      <w:r w:rsidRPr="006C089E">
        <w:rPr>
          <w:rFonts w:ascii="Times New Roman" w:eastAsia="Times New Roman" w:hAnsi="Times New Roman" w:cs="Times New Roman"/>
          <w:b/>
          <w:bCs/>
          <w:kern w:val="36"/>
          <w:sz w:val="29"/>
          <w:szCs w:val="29"/>
        </w:rPr>
        <w:t>Learning Objectives</w:t>
      </w:r>
    </w:p>
    <w:p w14:paraId="1EBED8FA" w14:textId="77777777" w:rsidR="006C089E" w:rsidRPr="006C089E" w:rsidRDefault="006C089E" w:rsidP="006C089E">
      <w:pPr>
        <w:spacing w:before="240" w:after="0" w:line="240" w:lineRule="auto"/>
        <w:rPr>
          <w:rFonts w:ascii="Times New Roman" w:eastAsia="Times New Roman" w:hAnsi="Times New Roman" w:cs="Times New Roman"/>
          <w:sz w:val="20"/>
          <w:szCs w:val="20"/>
        </w:rPr>
      </w:pPr>
      <w:r w:rsidRPr="006C089E">
        <w:rPr>
          <w:rFonts w:ascii="Times New Roman" w:eastAsia="Times New Roman" w:hAnsi="Times New Roman" w:cs="Times New Roman"/>
          <w:sz w:val="20"/>
          <w:szCs w:val="20"/>
        </w:rPr>
        <w:t>After reading this chapter, you should be able to:</w:t>
      </w:r>
    </w:p>
    <w:p w14:paraId="1A96C477" w14:textId="77777777" w:rsidR="006C089E" w:rsidRPr="006C089E" w:rsidRDefault="006C089E" w:rsidP="006C08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Understand the meaning of scientific method and the difference between deductive and inductive reasoning.</w:t>
      </w:r>
    </w:p>
    <w:p w14:paraId="24FBD450" w14:textId="77777777" w:rsidR="006C089E" w:rsidRPr="006C089E" w:rsidRDefault="006C089E" w:rsidP="006C08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Gain insights into the nature of positive accounting research.</w:t>
      </w:r>
    </w:p>
    <w:p w14:paraId="6C0CB4B0" w14:textId="77777777" w:rsidR="006C089E" w:rsidRPr="006C089E" w:rsidRDefault="006C089E" w:rsidP="006C08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See how accounting fits into the art-versus-science dichotomy.</w:t>
      </w:r>
    </w:p>
    <w:p w14:paraId="3E7CA38C" w14:textId="77777777" w:rsidR="006C089E" w:rsidRPr="006C089E" w:rsidRDefault="006C089E" w:rsidP="006C08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Understand the main directions of accounting research.</w:t>
      </w:r>
    </w:p>
    <w:p w14:paraId="4E9B0302"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hyperlink r:id="rId7" w:history="1">
        <w:r w:rsidRPr="006C089E">
          <w:rPr>
            <w:rFonts w:ascii="Times New Roman" w:eastAsia="Times New Roman" w:hAnsi="Times New Roman" w:cs="Times New Roman"/>
            <w:color w:val="0000FF"/>
            <w:sz w:val="24"/>
            <w:szCs w:val="24"/>
            <w:u w:val="single"/>
          </w:rPr>
          <w:t>Chapter 1</w:t>
        </w:r>
      </w:hyperlink>
      <w:r w:rsidRPr="006C089E">
        <w:rPr>
          <w:rFonts w:ascii="Times New Roman" w:eastAsia="Times New Roman" w:hAnsi="Times New Roman" w:cs="Times New Roman"/>
          <w:sz w:val="24"/>
          <w:szCs w:val="24"/>
        </w:rPr>
        <w:t> mentioned that valuation models such as those illustrated in Appendix 1-A, as well as more formalized methods of investigation, are important elements that can add to accounting theory. The process of investigating phenomena ' which affect the rules, definitions, concepts, and principles of accounting ' consists of the formal methods of deductive and inductive reasoning. The investigatory process itself is called research. Its use in accounting results in our field being referred to as an academic discipline.</w:t>
      </w:r>
    </w:p>
    <w:p w14:paraId="2BCF32B4"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Accounting has been an academic discipline in colleges and universities for more than 100 years. One of the characteristics associated with an academic discipline is the publication of the ideas it generates in magazines (which academicians prefer to call </w:t>
      </w:r>
      <w:r w:rsidRPr="006C089E">
        <w:rPr>
          <w:rFonts w:ascii="Times New Roman" w:eastAsia="Times New Roman" w:hAnsi="Times New Roman" w:cs="Times New Roman"/>
          <w:i/>
          <w:iCs/>
          <w:sz w:val="24"/>
          <w:szCs w:val="24"/>
        </w:rPr>
        <w:t>journals,</w:t>
      </w:r>
      <w:r w:rsidRPr="006C089E">
        <w:rPr>
          <w:rFonts w:ascii="Times New Roman" w:eastAsia="Times New Roman" w:hAnsi="Times New Roman" w:cs="Times New Roman"/>
          <w:sz w:val="24"/>
          <w:szCs w:val="24"/>
        </w:rPr>
        <w:t> a particularly appropriate name for the discipline of accounting). We first examine the scientific method and how it relates to accounting research. The term refers to the formal procedures used to derive the laws and principles that govern the so-called hard scientific disciplines, such as physics and chemistry. As applied to accounting, the scientific method involves analyzing the behavior of rule makers, preparers, auditors, and the users of accounting information, as well as the behavior of security prices. The role and meaning of theory to a given discipline are affected by whether the discipline is a science. Therefore, we need to consider the questions of whether accounting is, or can be, a science and of the relation of art to science. An important segment of accounting theory derives from the research process.</w:t>
      </w:r>
      <w:hyperlink r:id="rId8" w:anchor="s9781506300108.i3733" w:history="1">
        <w:r w:rsidRPr="006C089E">
          <w:rPr>
            <w:rFonts w:ascii="Times New Roman" w:eastAsia="Times New Roman" w:hAnsi="Times New Roman" w:cs="Times New Roman"/>
            <w:color w:val="0000FF"/>
            <w:sz w:val="24"/>
            <w:szCs w:val="24"/>
            <w:u w:val="single"/>
            <w:vertAlign w:val="superscript"/>
          </w:rPr>
          <w:t>1</w:t>
        </w:r>
      </w:hyperlink>
      <w:r w:rsidRPr="006C089E">
        <w:rPr>
          <w:rFonts w:ascii="Times New Roman" w:eastAsia="Times New Roman" w:hAnsi="Times New Roman" w:cs="Times New Roman"/>
          <w:sz w:val="24"/>
          <w:szCs w:val="24"/>
        </w:rPr>
        <w:t> Therefore, the chapter concludes by examining the main directions of current accounting research as well as some other influences affecting accounting research.</w:t>
      </w:r>
    </w:p>
    <w:p w14:paraId="46D8E81A" w14:textId="77777777" w:rsidR="006C089E" w:rsidRPr="006C089E" w:rsidRDefault="006C089E" w:rsidP="006C089E">
      <w:pPr>
        <w:spacing w:before="240" w:after="0" w:line="240" w:lineRule="auto"/>
        <w:outlineLvl w:val="0"/>
        <w:rPr>
          <w:rFonts w:ascii="Times New Roman" w:eastAsia="Times New Roman" w:hAnsi="Times New Roman" w:cs="Times New Roman"/>
          <w:b/>
          <w:bCs/>
          <w:kern w:val="36"/>
          <w:sz w:val="36"/>
          <w:szCs w:val="36"/>
        </w:rPr>
      </w:pPr>
      <w:r w:rsidRPr="006C089E">
        <w:rPr>
          <w:rFonts w:ascii="Times New Roman" w:eastAsia="Times New Roman" w:hAnsi="Times New Roman" w:cs="Times New Roman"/>
          <w:b/>
          <w:bCs/>
          <w:kern w:val="36"/>
          <w:sz w:val="36"/>
          <w:szCs w:val="36"/>
        </w:rPr>
        <w:t>Accounting Research and Scientific Method</w:t>
      </w:r>
    </w:p>
    <w:p w14:paraId="0A4CF694"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Theories attempt to explain relationships or predict phenomena. Although accounting theory embraces a wide range of philosophical viewpoints, we are particularly concerned with the formally developed theories that have been derived from the research process.</w:t>
      </w:r>
    </w:p>
    <w:p w14:paraId="459C4A08"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In terms of scientific method, a theory is, first of all, nothing more than sentences.</w:t>
      </w:r>
      <w:hyperlink r:id="rId9" w:anchor="s9781506300108.i3735" w:history="1">
        <w:r w:rsidRPr="006C089E">
          <w:rPr>
            <w:rFonts w:ascii="Times New Roman" w:eastAsia="Times New Roman" w:hAnsi="Times New Roman" w:cs="Times New Roman"/>
            <w:color w:val="0000FF"/>
            <w:sz w:val="24"/>
            <w:szCs w:val="24"/>
            <w:u w:val="single"/>
            <w:vertAlign w:val="superscript"/>
          </w:rPr>
          <w:t>2</w:t>
        </w:r>
      </w:hyperlink>
      <w:r w:rsidRPr="006C089E">
        <w:rPr>
          <w:rFonts w:ascii="Times New Roman" w:eastAsia="Times New Roman" w:hAnsi="Times New Roman" w:cs="Times New Roman"/>
          <w:sz w:val="24"/>
          <w:szCs w:val="24"/>
        </w:rPr>
        <w:t> It must contain a basic set of </w:t>
      </w:r>
      <w:r w:rsidRPr="006C089E">
        <w:rPr>
          <w:rFonts w:ascii="Times New Roman" w:eastAsia="Times New Roman" w:hAnsi="Times New Roman" w:cs="Times New Roman"/>
          <w:i/>
          <w:iCs/>
          <w:sz w:val="24"/>
          <w:szCs w:val="24"/>
        </w:rPr>
        <w:t>premises</w:t>
      </w:r>
      <w:r w:rsidRPr="006C089E">
        <w:rPr>
          <w:rFonts w:ascii="Times New Roman" w:eastAsia="Times New Roman" w:hAnsi="Times New Roman" w:cs="Times New Roman"/>
          <w:sz w:val="24"/>
          <w:szCs w:val="24"/>
        </w:rPr>
        <w:t xml:space="preserve"> (also called assumptions or postulates). The premises may be </w:t>
      </w:r>
      <w:proofErr w:type="gramStart"/>
      <w:r w:rsidRPr="006C089E">
        <w:rPr>
          <w:rFonts w:ascii="Times New Roman" w:eastAsia="Times New Roman" w:hAnsi="Times New Roman" w:cs="Times New Roman"/>
          <w:sz w:val="24"/>
          <w:szCs w:val="24"/>
        </w:rPr>
        <w:t>self-evident</w:t>
      </w:r>
      <w:proofErr w:type="gramEnd"/>
      <w:r w:rsidRPr="006C089E">
        <w:rPr>
          <w:rFonts w:ascii="Times New Roman" w:eastAsia="Times New Roman" w:hAnsi="Times New Roman" w:cs="Times New Roman"/>
          <w:sz w:val="24"/>
          <w:szCs w:val="24"/>
        </w:rPr>
        <w:t xml:space="preserve"> or they may be constructed so that they can be tested by statistical inference, in which case they are usually called hypotheses. Some of the terms in premises may be undefined, but other terms may need precise definitions. The words </w:t>
      </w:r>
      <w:r w:rsidRPr="006C089E">
        <w:rPr>
          <w:rFonts w:ascii="Times New Roman" w:eastAsia="Times New Roman" w:hAnsi="Times New Roman" w:cs="Times New Roman"/>
          <w:i/>
          <w:iCs/>
          <w:sz w:val="24"/>
          <w:szCs w:val="24"/>
        </w:rPr>
        <w:t>debit</w:t>
      </w:r>
      <w:r w:rsidRPr="006C089E">
        <w:rPr>
          <w:rFonts w:ascii="Times New Roman" w:eastAsia="Times New Roman" w:hAnsi="Times New Roman" w:cs="Times New Roman"/>
          <w:sz w:val="24"/>
          <w:szCs w:val="24"/>
        </w:rPr>
        <w:t> and </w:t>
      </w:r>
      <w:r w:rsidRPr="006C089E">
        <w:rPr>
          <w:rFonts w:ascii="Times New Roman" w:eastAsia="Times New Roman" w:hAnsi="Times New Roman" w:cs="Times New Roman"/>
          <w:i/>
          <w:iCs/>
          <w:sz w:val="24"/>
          <w:szCs w:val="24"/>
        </w:rPr>
        <w:t>credit</w:t>
      </w:r>
      <w:r w:rsidRPr="006C089E">
        <w:rPr>
          <w:rFonts w:ascii="Times New Roman" w:eastAsia="Times New Roman" w:hAnsi="Times New Roman" w:cs="Times New Roman"/>
          <w:sz w:val="24"/>
          <w:szCs w:val="24"/>
        </w:rPr>
        <w:t xml:space="preserve"> are so well understood by </w:t>
      </w:r>
      <w:r w:rsidRPr="006C089E">
        <w:rPr>
          <w:rFonts w:ascii="Times New Roman" w:eastAsia="Times New Roman" w:hAnsi="Times New Roman" w:cs="Times New Roman"/>
          <w:sz w:val="24"/>
          <w:szCs w:val="24"/>
        </w:rPr>
        <w:lastRenderedPageBreak/>
        <w:t>accountants that no definition is necessary. However, the word </w:t>
      </w:r>
      <w:r w:rsidRPr="006C089E">
        <w:rPr>
          <w:rFonts w:ascii="Times New Roman" w:eastAsia="Times New Roman" w:hAnsi="Times New Roman" w:cs="Times New Roman"/>
          <w:i/>
          <w:iCs/>
          <w:sz w:val="24"/>
          <w:szCs w:val="24"/>
        </w:rPr>
        <w:t>liabilities</w:t>
      </w:r>
      <w:r w:rsidRPr="006C089E">
        <w:rPr>
          <w:rFonts w:ascii="Times New Roman" w:eastAsia="Times New Roman" w:hAnsi="Times New Roman" w:cs="Times New Roman"/>
          <w:sz w:val="24"/>
          <w:szCs w:val="24"/>
        </w:rPr>
        <w:t>, as used in a theory, needs to be carefully defined because several different conceptions of it exist. In the narrowest sense, liabilities can be defined legally ' amounts presently due other parties for goods, services, or other consideration already received. However, the definition can be extended to include future cash disbursements for estimated income tax liabilities ' straight-line depreciation is used for published financial statement purposes, and accelerated depreciation is used for tax purposes (a legal liability does not exist in this situation). Finally, a theory contains a set of conclusions derived from the premises. The conclusions can be determined by either deduction or induction.</w:t>
      </w:r>
    </w:p>
    <w:p w14:paraId="17D0EC93" w14:textId="77777777" w:rsidR="006C089E" w:rsidRPr="006C089E" w:rsidRDefault="006C089E" w:rsidP="006C089E">
      <w:pPr>
        <w:spacing w:before="240" w:after="0" w:line="240" w:lineRule="auto"/>
        <w:outlineLvl w:val="1"/>
        <w:rPr>
          <w:rFonts w:ascii="Times New Roman" w:eastAsia="Times New Roman" w:hAnsi="Times New Roman" w:cs="Times New Roman"/>
          <w:b/>
          <w:bCs/>
          <w:sz w:val="34"/>
          <w:szCs w:val="34"/>
        </w:rPr>
      </w:pPr>
      <w:r w:rsidRPr="006C089E">
        <w:rPr>
          <w:rFonts w:ascii="Times New Roman" w:eastAsia="Times New Roman" w:hAnsi="Times New Roman" w:cs="Times New Roman"/>
          <w:b/>
          <w:bCs/>
          <w:sz w:val="34"/>
          <w:szCs w:val="34"/>
        </w:rPr>
        <w:t>Research Approaches</w:t>
      </w:r>
    </w:p>
    <w:p w14:paraId="45108ACF" w14:textId="77777777" w:rsidR="006C089E" w:rsidRPr="006C089E" w:rsidRDefault="006C089E" w:rsidP="006C089E">
      <w:pPr>
        <w:spacing w:before="240" w:after="0" w:line="240" w:lineRule="auto"/>
        <w:outlineLvl w:val="2"/>
        <w:rPr>
          <w:rFonts w:ascii="Times New Roman" w:eastAsia="Times New Roman" w:hAnsi="Times New Roman" w:cs="Times New Roman"/>
          <w:b/>
          <w:bCs/>
          <w:sz w:val="31"/>
          <w:szCs w:val="31"/>
        </w:rPr>
      </w:pPr>
      <w:r w:rsidRPr="006C089E">
        <w:rPr>
          <w:rFonts w:ascii="Times New Roman" w:eastAsia="Times New Roman" w:hAnsi="Times New Roman" w:cs="Times New Roman"/>
          <w:b/>
          <w:bCs/>
          <w:sz w:val="31"/>
          <w:szCs w:val="31"/>
        </w:rPr>
        <w:t>Deductive Reasoning</w:t>
      </w:r>
    </w:p>
    <w:p w14:paraId="26AA0503"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 </w:t>
      </w:r>
      <w:r w:rsidRPr="006C089E">
        <w:rPr>
          <w:rFonts w:ascii="Times New Roman" w:eastAsia="Times New Roman" w:hAnsi="Times New Roman" w:cs="Times New Roman"/>
          <w:i/>
          <w:iCs/>
          <w:sz w:val="24"/>
          <w:szCs w:val="24"/>
        </w:rPr>
        <w:t>deductive</w:t>
      </w:r>
      <w:r w:rsidRPr="006C089E">
        <w:rPr>
          <w:rFonts w:ascii="Times New Roman" w:eastAsia="Times New Roman" w:hAnsi="Times New Roman" w:cs="Times New Roman"/>
          <w:sz w:val="24"/>
          <w:szCs w:val="24"/>
        </w:rPr>
        <w:t> system is one in which logical reasoning is employed to derive one or more conclusions from a given set of premises. Empirical data are not analyzed in purely deductive systems. A simple example of a deductive system is as follows:</w:t>
      </w:r>
    </w:p>
    <w:p w14:paraId="638F0773" w14:textId="77777777" w:rsidR="006C089E" w:rsidRPr="006C089E" w:rsidRDefault="006C089E" w:rsidP="006C08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i/>
          <w:iCs/>
          <w:sz w:val="24"/>
          <w:szCs w:val="24"/>
        </w:rPr>
        <w:t>Premise 1:</w:t>
      </w:r>
      <w:r w:rsidRPr="006C089E">
        <w:rPr>
          <w:rFonts w:ascii="Times New Roman" w:eastAsia="Times New Roman" w:hAnsi="Times New Roman" w:cs="Times New Roman"/>
          <w:sz w:val="24"/>
          <w:szCs w:val="24"/>
        </w:rPr>
        <w:t> </w:t>
      </w:r>
      <w:r w:rsidRPr="006C089E">
        <w:rPr>
          <w:rFonts w:ascii="Times New Roman" w:eastAsia="Times New Roman" w:hAnsi="Times New Roman" w:cs="Times New Roman"/>
          <w:sz w:val="24"/>
          <w:szCs w:val="24"/>
        </w:rPr>
        <w:t>A horse has four legs.</w:t>
      </w:r>
    </w:p>
    <w:p w14:paraId="011DABEF" w14:textId="77777777" w:rsidR="006C089E" w:rsidRPr="006C089E" w:rsidRDefault="006C089E" w:rsidP="006C08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i/>
          <w:iCs/>
          <w:sz w:val="24"/>
          <w:szCs w:val="24"/>
        </w:rPr>
        <w:t>Premise 2:</w:t>
      </w:r>
      <w:r w:rsidRPr="006C089E">
        <w:rPr>
          <w:rFonts w:ascii="Times New Roman" w:eastAsia="Times New Roman" w:hAnsi="Times New Roman" w:cs="Times New Roman"/>
          <w:sz w:val="24"/>
          <w:szCs w:val="24"/>
        </w:rPr>
        <w:t> </w:t>
      </w:r>
      <w:r w:rsidRPr="006C089E">
        <w:rPr>
          <w:rFonts w:ascii="Times New Roman" w:eastAsia="Times New Roman" w:hAnsi="Times New Roman" w:cs="Times New Roman"/>
          <w:sz w:val="24"/>
          <w:szCs w:val="24"/>
        </w:rPr>
        <w:t>John has two legs.</w:t>
      </w:r>
    </w:p>
    <w:p w14:paraId="6A59AB8A" w14:textId="77777777" w:rsidR="006C089E" w:rsidRPr="006C089E" w:rsidRDefault="006C089E" w:rsidP="006C08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i/>
          <w:iCs/>
          <w:sz w:val="24"/>
          <w:szCs w:val="24"/>
        </w:rPr>
        <w:t>Conclusion 1:</w:t>
      </w:r>
      <w:r w:rsidRPr="006C089E">
        <w:rPr>
          <w:rFonts w:ascii="Times New Roman" w:eastAsia="Times New Roman" w:hAnsi="Times New Roman" w:cs="Times New Roman"/>
          <w:sz w:val="24"/>
          <w:szCs w:val="24"/>
        </w:rPr>
        <w:t> </w:t>
      </w:r>
      <w:r w:rsidRPr="006C089E">
        <w:rPr>
          <w:rFonts w:ascii="Times New Roman" w:eastAsia="Times New Roman" w:hAnsi="Times New Roman" w:cs="Times New Roman"/>
          <w:sz w:val="24"/>
          <w:szCs w:val="24"/>
        </w:rPr>
        <w:t>John is not a horse.</w:t>
      </w:r>
    </w:p>
    <w:p w14:paraId="0D16C46C"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In this simple case, only one conclusion can be derived from the premises. In a more complex system, more than one conclusion can be derived. However, conclusions must not </w:t>
      </w:r>
      <w:proofErr w:type="gramStart"/>
      <w:r w:rsidRPr="006C089E">
        <w:rPr>
          <w:rFonts w:ascii="Times New Roman" w:eastAsia="Times New Roman" w:hAnsi="Times New Roman" w:cs="Times New Roman"/>
          <w:sz w:val="24"/>
          <w:szCs w:val="24"/>
        </w:rPr>
        <w:t>be in conflict with</w:t>
      </w:r>
      <w:proofErr w:type="gramEnd"/>
      <w:r w:rsidRPr="006C089E">
        <w:rPr>
          <w:rFonts w:ascii="Times New Roman" w:eastAsia="Times New Roman" w:hAnsi="Times New Roman" w:cs="Times New Roman"/>
          <w:sz w:val="24"/>
          <w:szCs w:val="24"/>
        </w:rPr>
        <w:t xml:space="preserve"> one another. Notice that no other conclusion relative to John could possibly be reached from the given premises.</w:t>
      </w:r>
    </w:p>
    <w:p w14:paraId="3D7A28C5"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Of course, if we are applying this theory to a real being named John, as opposed to analyzing the logic of a set of sentences, we </w:t>
      </w:r>
      <w:proofErr w:type="gramStart"/>
      <w:r w:rsidRPr="006C089E">
        <w:rPr>
          <w:rFonts w:ascii="Times New Roman" w:eastAsia="Times New Roman" w:hAnsi="Times New Roman" w:cs="Times New Roman"/>
          <w:sz w:val="24"/>
          <w:szCs w:val="24"/>
        </w:rPr>
        <w:t>have to</w:t>
      </w:r>
      <w:proofErr w:type="gramEnd"/>
      <w:r w:rsidRPr="006C089E">
        <w:rPr>
          <w:rFonts w:ascii="Times New Roman" w:eastAsia="Times New Roman" w:hAnsi="Times New Roman" w:cs="Times New Roman"/>
          <w:sz w:val="24"/>
          <w:szCs w:val="24"/>
        </w:rPr>
        <w:t xml:space="preserve"> see and, if necessary, examine John to determine his status. At this point we are in the inductive realm ' because we are judging the theory not simply by its internal logic but rather by observing the evidence itself. For example, John might be a horse that had two legs amputated. </w:t>
      </w:r>
      <w:proofErr w:type="gramStart"/>
      <w:r w:rsidRPr="006C089E">
        <w:rPr>
          <w:rFonts w:ascii="Times New Roman" w:eastAsia="Times New Roman" w:hAnsi="Times New Roman" w:cs="Times New Roman"/>
          <w:sz w:val="24"/>
          <w:szCs w:val="24"/>
        </w:rPr>
        <w:t>Assuming that</w:t>
      </w:r>
      <w:proofErr w:type="gramEnd"/>
      <w:r w:rsidRPr="006C089E">
        <w:rPr>
          <w:rFonts w:ascii="Times New Roman" w:eastAsia="Times New Roman" w:hAnsi="Times New Roman" w:cs="Times New Roman"/>
          <w:sz w:val="24"/>
          <w:szCs w:val="24"/>
        </w:rPr>
        <w:t xml:space="preserve"> the reasoning is valid, only questioning premises or conclusions empirically can challenge a deductive theory.</w:t>
      </w:r>
    </w:p>
    <w:p w14:paraId="127AD6A0"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Accounting and economic theorists have developed different income models by means of deductive reasoning. The main source of a firm ' s income is an increase in wealth resulting from operations during the period. </w:t>
      </w:r>
      <w:r w:rsidRPr="006C089E">
        <w:rPr>
          <w:rFonts w:ascii="Times New Roman" w:eastAsia="Times New Roman" w:hAnsi="Times New Roman" w:cs="Times New Roman"/>
          <w:i/>
          <w:iCs/>
          <w:sz w:val="24"/>
          <w:szCs w:val="24"/>
        </w:rPr>
        <w:t>Income</w:t>
      </w:r>
      <w:r w:rsidRPr="006C089E">
        <w:rPr>
          <w:rFonts w:ascii="Times New Roman" w:eastAsia="Times New Roman" w:hAnsi="Times New Roman" w:cs="Times New Roman"/>
          <w:sz w:val="24"/>
          <w:szCs w:val="24"/>
        </w:rPr>
        <w:t> has often been defined as the maximum amount that can be distributed to owners while still leaving the firm as well-off at the end of a period as it was at the beginning of the period.</w:t>
      </w:r>
      <w:hyperlink r:id="rId10" w:anchor="s9781506300108.i3737" w:history="1">
        <w:r w:rsidRPr="006C089E">
          <w:rPr>
            <w:rFonts w:ascii="Times New Roman" w:eastAsia="Times New Roman" w:hAnsi="Times New Roman" w:cs="Times New Roman"/>
            <w:color w:val="0000FF"/>
            <w:sz w:val="24"/>
            <w:szCs w:val="24"/>
            <w:u w:val="single"/>
            <w:vertAlign w:val="superscript"/>
          </w:rPr>
          <w:t>3</w:t>
        </w:r>
      </w:hyperlink>
      <w:r w:rsidRPr="006C089E">
        <w:rPr>
          <w:rFonts w:ascii="Times New Roman" w:eastAsia="Times New Roman" w:hAnsi="Times New Roman" w:cs="Times New Roman"/>
          <w:sz w:val="24"/>
          <w:szCs w:val="24"/>
        </w:rPr>
        <w:t> Income thus is conditional, in the definitional sense, on maintaining intact the firm ' s capital at the beginning of the period. This concept is known as </w:t>
      </w:r>
      <w:r w:rsidRPr="006C089E">
        <w:rPr>
          <w:rFonts w:ascii="Times New Roman" w:eastAsia="Times New Roman" w:hAnsi="Times New Roman" w:cs="Times New Roman"/>
          <w:i/>
          <w:iCs/>
          <w:sz w:val="24"/>
          <w:szCs w:val="24"/>
        </w:rPr>
        <w:t>capital maintenance</w:t>
      </w:r>
      <w:r w:rsidRPr="006C089E">
        <w:rPr>
          <w:rFonts w:ascii="Times New Roman" w:eastAsia="Times New Roman" w:hAnsi="Times New Roman" w:cs="Times New Roman"/>
          <w:sz w:val="24"/>
          <w:szCs w:val="24"/>
        </w:rPr>
        <w:t>. Beginning with the basic premise, capital maintenance, there are at least three different ways to approach “well-</w:t>
      </w:r>
      <w:proofErr w:type="spellStart"/>
      <w:r w:rsidRPr="006C089E">
        <w:rPr>
          <w:rFonts w:ascii="Times New Roman" w:eastAsia="Times New Roman" w:hAnsi="Times New Roman" w:cs="Times New Roman"/>
          <w:sz w:val="24"/>
          <w:szCs w:val="24"/>
        </w:rPr>
        <w:t>offness</w:t>
      </w:r>
      <w:proofErr w:type="spellEnd"/>
      <w:r w:rsidRPr="006C089E">
        <w:rPr>
          <w:rFonts w:ascii="Times New Roman" w:eastAsia="Times New Roman" w:hAnsi="Times New Roman" w:cs="Times New Roman"/>
          <w:sz w:val="24"/>
          <w:szCs w:val="24"/>
        </w:rPr>
        <w:t xml:space="preserve">” in capital maintenance terms. If we assume that the dollar is stable, historical cost income measurement is appropriate and capital maintenance is ascertained in unadjusted dollars. In a period of inflation, if we desire to </w:t>
      </w:r>
      <w:proofErr w:type="gramStart"/>
      <w:r w:rsidRPr="006C089E">
        <w:rPr>
          <w:rFonts w:ascii="Times New Roman" w:eastAsia="Times New Roman" w:hAnsi="Times New Roman" w:cs="Times New Roman"/>
          <w:sz w:val="24"/>
          <w:szCs w:val="24"/>
        </w:rPr>
        <w:t>take into account</w:t>
      </w:r>
      <w:proofErr w:type="gramEnd"/>
      <w:r w:rsidRPr="006C089E">
        <w:rPr>
          <w:rFonts w:ascii="Times New Roman" w:eastAsia="Times New Roman" w:hAnsi="Times New Roman" w:cs="Times New Roman"/>
          <w:sz w:val="24"/>
          <w:szCs w:val="24"/>
        </w:rPr>
        <w:t xml:space="preserve"> the shrinking general purchasing power of the dollar, revenues and expenses can be measured by restating historical cost figures by appropriate general price-level adjustments. Similarly, income </w:t>
      </w:r>
      <w:r w:rsidRPr="006C089E">
        <w:rPr>
          <w:rFonts w:ascii="Times New Roman" w:eastAsia="Times New Roman" w:hAnsi="Times New Roman" w:cs="Times New Roman"/>
          <w:sz w:val="24"/>
          <w:szCs w:val="24"/>
        </w:rPr>
        <w:lastRenderedPageBreak/>
        <w:t>measured by calculating expenses in terms of current replacement costs can be geared to a physical capacity concept of capital maintenance.</w:t>
      </w:r>
    </w:p>
    <w:p w14:paraId="0D886F6D"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Some deductive approaches to accounting theory use formalized axioms as the premises of a system from which various rules of accounting are derived. By </w:t>
      </w:r>
      <w:r w:rsidRPr="006C089E">
        <w:rPr>
          <w:rFonts w:ascii="Times New Roman" w:eastAsia="Times New Roman" w:hAnsi="Times New Roman" w:cs="Times New Roman"/>
          <w:i/>
          <w:iCs/>
          <w:sz w:val="24"/>
          <w:szCs w:val="24"/>
        </w:rPr>
        <w:t>formalized axioms</w:t>
      </w:r>
      <w:r w:rsidRPr="006C089E">
        <w:rPr>
          <w:rFonts w:ascii="Times New Roman" w:eastAsia="Times New Roman" w:hAnsi="Times New Roman" w:cs="Times New Roman"/>
          <w:sz w:val="24"/>
          <w:szCs w:val="24"/>
        </w:rPr>
        <w:t>, we mean a set of terms rigorously defined according to the rules and terminology of symbolic logic.</w:t>
      </w:r>
      <w:hyperlink r:id="rId11" w:anchor="s9781506300108.i3739" w:history="1">
        <w:r w:rsidRPr="006C089E">
          <w:rPr>
            <w:rFonts w:ascii="Times New Roman" w:eastAsia="Times New Roman" w:hAnsi="Times New Roman" w:cs="Times New Roman"/>
            <w:color w:val="0000FF"/>
            <w:sz w:val="24"/>
            <w:szCs w:val="24"/>
            <w:u w:val="single"/>
            <w:vertAlign w:val="superscript"/>
          </w:rPr>
          <w:t>4</w:t>
        </w:r>
      </w:hyperlink>
      <w:r w:rsidRPr="006C089E">
        <w:rPr>
          <w:rFonts w:ascii="Times New Roman" w:eastAsia="Times New Roman" w:hAnsi="Times New Roman" w:cs="Times New Roman"/>
          <w:sz w:val="24"/>
          <w:szCs w:val="24"/>
        </w:rPr>
        <w:t> Formalized deductive approaches (sometimes called analytical/deductive methods) have not met with a great deal of success in accounting theory. This is due to a limited understanding of symbolic techniques as well as a lack of agreement on the fundamental premises of financial accounting. General deductive reasoning, however, remains extremely important in accounting theory and policy making.</w:t>
      </w:r>
    </w:p>
    <w:p w14:paraId="46275E05" w14:textId="77777777" w:rsidR="006C089E" w:rsidRPr="006C089E" w:rsidRDefault="006C089E" w:rsidP="006C089E">
      <w:pPr>
        <w:spacing w:before="240" w:after="0" w:line="240" w:lineRule="auto"/>
        <w:outlineLvl w:val="2"/>
        <w:rPr>
          <w:rFonts w:ascii="Times New Roman" w:eastAsia="Times New Roman" w:hAnsi="Times New Roman" w:cs="Times New Roman"/>
          <w:b/>
          <w:bCs/>
          <w:color w:val="000000"/>
          <w:sz w:val="31"/>
          <w:szCs w:val="31"/>
        </w:rPr>
      </w:pPr>
      <w:r w:rsidRPr="006C089E">
        <w:rPr>
          <w:rFonts w:ascii="Times New Roman" w:eastAsia="Times New Roman" w:hAnsi="Times New Roman" w:cs="Times New Roman"/>
          <w:b/>
          <w:bCs/>
          <w:color w:val="000000"/>
          <w:sz w:val="31"/>
          <w:szCs w:val="31"/>
        </w:rPr>
        <w:t>Inductive Reasoning</w:t>
      </w:r>
    </w:p>
    <w:p w14:paraId="6F4ED336" w14:textId="77777777" w:rsidR="006C089E" w:rsidRPr="006C089E" w:rsidRDefault="006C089E" w:rsidP="006C089E">
      <w:pPr>
        <w:spacing w:before="240" w:after="0" w:line="240" w:lineRule="auto"/>
        <w:rPr>
          <w:rFonts w:ascii="Times New Roman" w:eastAsia="Times New Roman" w:hAnsi="Times New Roman" w:cs="Times New Roman"/>
          <w:color w:val="000000"/>
          <w:sz w:val="24"/>
          <w:szCs w:val="24"/>
        </w:rPr>
      </w:pPr>
      <w:r w:rsidRPr="006C089E">
        <w:rPr>
          <w:rFonts w:ascii="Times New Roman" w:eastAsia="Times New Roman" w:hAnsi="Times New Roman" w:cs="Times New Roman"/>
          <w:i/>
          <w:iCs/>
          <w:color w:val="000000"/>
          <w:sz w:val="24"/>
          <w:szCs w:val="24"/>
        </w:rPr>
        <w:t>Inductive</w:t>
      </w:r>
      <w:r w:rsidRPr="006C089E">
        <w:rPr>
          <w:rFonts w:ascii="Times New Roman" w:eastAsia="Times New Roman" w:hAnsi="Times New Roman" w:cs="Times New Roman"/>
          <w:color w:val="000000"/>
          <w:sz w:val="24"/>
          <w:szCs w:val="24"/>
        </w:rPr>
        <w:t> reasoning examines or tests data, usually a sample from a population, and makes inferences about the population.</w:t>
      </w:r>
      <w:hyperlink r:id="rId12" w:anchor="s9781506300108.i3741" w:history="1">
        <w:r w:rsidRPr="006C089E">
          <w:rPr>
            <w:rFonts w:ascii="Times New Roman" w:eastAsia="Times New Roman" w:hAnsi="Times New Roman" w:cs="Times New Roman"/>
            <w:color w:val="0000FF"/>
            <w:sz w:val="24"/>
            <w:szCs w:val="24"/>
            <w:u w:val="single"/>
            <w:vertAlign w:val="superscript"/>
          </w:rPr>
          <w:t>5</w:t>
        </w:r>
      </w:hyperlink>
      <w:r w:rsidRPr="006C089E">
        <w:rPr>
          <w:rFonts w:ascii="Times New Roman" w:eastAsia="Times New Roman" w:hAnsi="Times New Roman" w:cs="Times New Roman"/>
          <w:color w:val="000000"/>
          <w:sz w:val="24"/>
          <w:szCs w:val="24"/>
        </w:rPr>
        <w:t> If an individual were testing a pair of dice to see whether they were loaded, he or she might throw each die 100 times in order to check that all sides come up approximately one-sixth of the time. Accounting researchers gather data through many methods and sources. These include questionnaires completed by practitioners or other appropriate parties, laboratory experiments involving individuals in simulation exercises, numbers from published financial statements, and prices of publicly traded securities.</w:t>
      </w:r>
    </w:p>
    <w:p w14:paraId="7BEDCDF2" w14:textId="124A0552" w:rsidR="007C6C57" w:rsidRDefault="007C6C57"/>
    <w:p w14:paraId="5DF1E1E5" w14:textId="77777777" w:rsidR="006C089E" w:rsidRDefault="006C089E" w:rsidP="006C089E">
      <w:pPr>
        <w:pStyle w:val="NormalWeb"/>
        <w:spacing w:before="240" w:beforeAutospacing="0" w:after="0" w:afterAutospacing="0"/>
      </w:pPr>
      <w:r>
        <w:t>n a complex environment such as the business world, a good inductive theory must carefully specify the problem that is under examination. The research must be based on a hypothesis that is capable of being tested. The process includes selecting an appropriate sample from the population under investigation, gathering and scrutinizing the needed data, and employing the requisite tools of statistical inference to test the hypothesis.</w:t>
      </w:r>
    </w:p>
    <w:p w14:paraId="2373FC6A" w14:textId="77777777" w:rsidR="006C089E" w:rsidRDefault="006C089E" w:rsidP="006C089E">
      <w:pPr>
        <w:pStyle w:val="NormalWeb"/>
        <w:spacing w:before="240" w:beforeAutospacing="0" w:after="0" w:afterAutospacing="0"/>
      </w:pPr>
      <w:r>
        <w:t xml:space="preserve">One of the criticisms of early inductive or empirical research in accounting was that the relationships expressed were mechanistic. For example, empirical tests were made on the relationship between security prices and changes in accounting methods. However, the question of why standard setters or financial managers chose </w:t>
      </w:r>
      <w:proofErr w:type="gramStart"/>
      <w:r>
        <w:t>particular alternatives</w:t>
      </w:r>
      <w:proofErr w:type="gramEnd"/>
      <w:r>
        <w:t xml:space="preserve"> largely remained unanswered. It is called </w:t>
      </w:r>
      <w:r>
        <w:rPr>
          <w:i/>
          <w:iCs/>
        </w:rPr>
        <w:t>positive accounting research</w:t>
      </w:r>
      <w:r>
        <w:t> when empirical research that posits relations between earnings and security prices attempts to answer the question of why particular standards are selected by policy makers, or asks why management selects the particular accounting alternatives it chooses.</w:t>
      </w:r>
      <w:hyperlink r:id="rId13" w:anchor="s9781506300108.i3743" w:history="1">
        <w:r>
          <w:rPr>
            <w:rStyle w:val="Hyperlink"/>
            <w:vertAlign w:val="superscript"/>
          </w:rPr>
          <w:t>6</w:t>
        </w:r>
      </w:hyperlink>
      <w:r>
        <w:t> Positive accounting research attempts to explain behavioral relationships in accounting. It attempts to describe “what is” without making any value judgments as to how things should be, although the researcher must make value judgments, as subsequent sections demonstrate.</w:t>
      </w:r>
    </w:p>
    <w:p w14:paraId="33A72967" w14:textId="77777777" w:rsidR="006C089E" w:rsidRDefault="006C089E" w:rsidP="006C089E">
      <w:pPr>
        <w:pStyle w:val="NormalWeb"/>
        <w:spacing w:before="240" w:beforeAutospacing="0" w:after="0" w:afterAutospacing="0"/>
      </w:pPr>
      <w:r>
        <w:t>Many examples of inductively derived theories are present in the accounting literature. Watts and Zimmerman, for example, explored the question of how corporate management responds to new standards proposed by the Financial Accounting Standards Board (FASB); the Board invites written responses from interested parties to exposure drafts of proposed new standards.</w:t>
      </w:r>
      <w:hyperlink r:id="rId14" w:anchor="s9781506300108.i3745" w:history="1">
        <w:r>
          <w:rPr>
            <w:rStyle w:val="Hyperlink"/>
            <w:vertAlign w:val="superscript"/>
          </w:rPr>
          <w:t>7</w:t>
        </w:r>
      </w:hyperlink>
      <w:r>
        <w:t xml:space="preserve"> One of their premises is that management acts in its own self-interest; for example, increasing personal compensation through bonus arrangements if reported net income increases. However, this is not </w:t>
      </w:r>
      <w:r>
        <w:lastRenderedPageBreak/>
        <w:t>necessarily the case in very large firms, if they are subject to antitrust action or regulation because of their dominant market position. In these firms, it may be in management ' s best long-run interests to have standards that result in lower reported net income. As a result, Watts and Zimmerman hypothesized that management has more incentive to favor standards that lower reported net income when the firm is subject to political pressure. They examined responses to the Board ' s exposure draft requiring general price-level adjusted income calculations in corporate annual reports (the exposure draft was eventually withdrawn). Their findings tended to corroborate the hypothesis that the proposal was supported by larger firms that would have lower income as a result of general price-level adjustment. Similarly, those larger firms that would have higher income using general price-level adjustment tended to be against the proposal.</w:t>
      </w:r>
    </w:p>
    <w:p w14:paraId="2EEC256B" w14:textId="77777777" w:rsidR="006C089E" w:rsidRDefault="006C089E" w:rsidP="006C089E">
      <w:pPr>
        <w:pStyle w:val="NormalWeb"/>
        <w:spacing w:before="240" w:beforeAutospacing="0" w:after="0" w:afterAutospacing="0"/>
      </w:pPr>
      <w:r>
        <w:t>Several other comments are in order relative to Watts and Zimmerman ' s study. Their premise concerned potential management reactions to accounting rules that could either increase or reduce income, but the exposure draft on general price-level accounting concerned a supplementary measurement of income rather than the primary measurement using historical cost. The exposure draft would have required the publication by most firms of general price-level-adjusted income statements in addition to the primary historical cost statements. Their study concerned whether general price-level-adjusted income was higher or lower than historical cost income. Hence, it appears to have been a very reasonable test of the question of how management reacts to standards that are perceived to increase or decrease a secondary measurement of income relative to the primary reported income number itself.</w:t>
      </w:r>
    </w:p>
    <w:p w14:paraId="34643AE9" w14:textId="77777777" w:rsidR="006C089E" w:rsidRDefault="006C089E" w:rsidP="006C089E">
      <w:pPr>
        <w:pStyle w:val="NormalWeb"/>
        <w:spacing w:before="240" w:beforeAutospacing="0" w:after="0" w:afterAutospacing="0"/>
      </w:pPr>
      <w:r>
        <w:t xml:space="preserve">However, several other aspects of the study do raise important issues. </w:t>
      </w:r>
      <w:proofErr w:type="spellStart"/>
      <w:r>
        <w:t>Solomons</w:t>
      </w:r>
      <w:proofErr w:type="spellEnd"/>
      <w:r>
        <w:t xml:space="preserve">, for example, stated that Watts and Zimmerman ' s evidence is rather flimsy because it involves a relatively small number of firms (52), a single accounting issue, and a single point in time (the year 1973). </w:t>
      </w:r>
      <w:proofErr w:type="spellStart"/>
      <w:r>
        <w:t>Solomons</w:t>
      </w:r>
      <w:proofErr w:type="spellEnd"/>
      <w:r>
        <w:t xml:space="preserve"> also noted (from an unpublished study by William </w:t>
      </w:r>
      <w:proofErr w:type="spellStart"/>
      <w:r>
        <w:t>Lanen</w:t>
      </w:r>
      <w:proofErr w:type="spellEnd"/>
      <w:r>
        <w:t xml:space="preserve"> and Meir Schneller) that many of the firms that lobbied in favor of general price-level-adjusted income when that technique appeared to give a lower reported income were not availing themselves of existing techniques. These include accelerated depreciation and LIFO, which when using LIFO reduced reported income as well as income taxes.</w:t>
      </w:r>
      <w:hyperlink r:id="rId15" w:anchor="s9781506300108.i3747" w:history="1">
        <w:r>
          <w:rPr>
            <w:rStyle w:val="Hyperlink"/>
            <w:vertAlign w:val="superscript"/>
          </w:rPr>
          <w:t>8</w:t>
        </w:r>
      </w:hyperlink>
      <w:r>
        <w:t> The possibility of measurement error also exists relative to the situations in which general price-level-adjusted income for 1973 was lower than reported historical cost income.</w:t>
      </w:r>
    </w:p>
    <w:p w14:paraId="0434C99A" w14:textId="77777777" w:rsidR="006C089E" w:rsidRDefault="006C089E" w:rsidP="006C089E">
      <w:pPr>
        <w:pStyle w:val="NormalWeb"/>
        <w:spacing w:before="240" w:beforeAutospacing="0" w:after="0" w:afterAutospacing="0"/>
      </w:pPr>
      <w:r>
        <w:t>Furthermore, of the nine largest firms that had lower general price-level-adjusted income relative to reported historical cost income in 1973, two lobbied against the proposed standard, which certainly raises questions about the predictive use of the hypothesis.</w:t>
      </w:r>
      <w:hyperlink r:id="rId16" w:anchor="s9781506300108.i3749" w:history="1">
        <w:r>
          <w:rPr>
            <w:rStyle w:val="Hyperlink"/>
            <w:vertAlign w:val="superscript"/>
          </w:rPr>
          <w:t>9</w:t>
        </w:r>
      </w:hyperlink>
      <w:r>
        <w:t> Moreover, three other firms (Union Carbide, Continental Oil, and International Harvester) lobbied against the proposed standard even though their general price-level-adjusted income also was lower than reported historical cost income for 1973. Since these firms ranked between 22 and 34 in the Fortune 500 for 1973, it appears that the premise ' large firms would be in favor of standards that decrease income ' is applicable only to a very small handful of very large firms (although there were anomalies here as noted earlier). We raise these criticisms of Watts and Zimmerman simply to show that empirical research in an area involving human behavior is subject to many interpretations and must be used in an extremely guarded and careful fashion if inferences relative to the standard-setting process are to be drawn from the research. There are, however, still other problems with Watts and Zimmerman ' s research, which will be considered shortly.</w:t>
      </w:r>
    </w:p>
    <w:p w14:paraId="7826BAF6" w14:textId="77777777" w:rsidR="006C089E" w:rsidRDefault="006C089E" w:rsidP="006C089E">
      <w:pPr>
        <w:pStyle w:val="Heading2"/>
        <w:spacing w:before="240" w:beforeAutospacing="0" w:after="0" w:afterAutospacing="0"/>
        <w:rPr>
          <w:sz w:val="34"/>
          <w:szCs w:val="34"/>
        </w:rPr>
      </w:pPr>
      <w:r>
        <w:rPr>
          <w:sz w:val="34"/>
          <w:szCs w:val="34"/>
        </w:rPr>
        <w:lastRenderedPageBreak/>
        <w:t>Normative and Descriptive Theories</w:t>
      </w:r>
    </w:p>
    <w:p w14:paraId="00DF5B0B" w14:textId="77777777" w:rsidR="006C089E" w:rsidRDefault="006C089E" w:rsidP="006C089E">
      <w:pPr>
        <w:pStyle w:val="NormalWeb"/>
        <w:spacing w:before="240" w:beforeAutospacing="0" w:after="0" w:afterAutospacing="0"/>
      </w:pPr>
      <w:r>
        <w:t>In addition to the deductive or inductive classifications, theories can also be categorized as normative (prescriptive) or descriptive. </w:t>
      </w:r>
      <w:r>
        <w:rPr>
          <w:i/>
          <w:iCs/>
        </w:rPr>
        <w:t>Normative theories</w:t>
      </w:r>
      <w:r>
        <w:t> employ a value judgment: Contained within them is at least one premise saying that this is the way things </w:t>
      </w:r>
      <w:r>
        <w:rPr>
          <w:i/>
          <w:iCs/>
        </w:rPr>
        <w:t>should</w:t>
      </w:r>
      <w:r>
        <w:t> be. For example, a premise stating that accounting reports should be based on net realizable value measurements of assets indicates a normative system. By contrast, </w:t>
      </w:r>
      <w:r>
        <w:rPr>
          <w:i/>
          <w:iCs/>
        </w:rPr>
        <w:t>descriptive theories</w:t>
      </w:r>
      <w:r>
        <w:t xml:space="preserve"> attempt to find relationships that </w:t>
      </w:r>
      <w:proofErr w:type="gramStart"/>
      <w:r>
        <w:t>actually exist</w:t>
      </w:r>
      <w:proofErr w:type="gramEnd"/>
      <w:r>
        <w:t xml:space="preserve">. The Watts and Zimmerman study is an excellent example of a descriptive theory applied to a </w:t>
      </w:r>
      <w:proofErr w:type="gramStart"/>
      <w:r>
        <w:t>particular situation</w:t>
      </w:r>
      <w:proofErr w:type="gramEnd"/>
      <w:r>
        <w:t>.</w:t>
      </w:r>
    </w:p>
    <w:p w14:paraId="13B46939" w14:textId="77777777" w:rsidR="006C089E" w:rsidRDefault="006C089E" w:rsidP="006C089E">
      <w:pPr>
        <w:pStyle w:val="NormalWeb"/>
        <w:spacing w:before="240" w:beforeAutospacing="0" w:after="0" w:afterAutospacing="0"/>
      </w:pPr>
      <w:r>
        <w:t>Deductive systems are often normative although mathematics and symbolic logic are deductive systems that are value free. Inductive approaches usually attempt to be descriptive. These characteristics derive from the nature of the deductive and inductive methods. The deductive method is basically a closed, non-empirical system; its conclusions are based strictly on its premises. The inductive approach, because it tries to find and explain real-world relationships, is, conversely, in the descriptive realm by its very nature.</w:t>
      </w:r>
    </w:p>
    <w:p w14:paraId="0B357A57" w14:textId="77777777" w:rsidR="006C089E" w:rsidRDefault="006C089E" w:rsidP="006C089E">
      <w:pPr>
        <w:pStyle w:val="NormalWeb"/>
        <w:spacing w:before="240" w:beforeAutospacing="0" w:after="0" w:afterAutospacing="0"/>
      </w:pPr>
      <w:r>
        <w:t>However, there is the question of whether empirical research can, in fact, be value free (neutral) in its findings because implicit value judgments underlie the form and content of the research itself.</w:t>
      </w:r>
      <w:hyperlink r:id="rId17" w:anchor="s9781506300108.i3751" w:history="1">
        <w:r>
          <w:rPr>
            <w:rStyle w:val="Hyperlink"/>
            <w:vertAlign w:val="superscript"/>
          </w:rPr>
          <w:t>10</w:t>
        </w:r>
      </w:hyperlink>
      <w:r>
        <w:t xml:space="preserve"> This point has also been made by Gunnar Myrdal, the famed Swedish economist, who is quoted by </w:t>
      </w:r>
      <w:proofErr w:type="spellStart"/>
      <w:r>
        <w:t>Mattessich</w:t>
      </w:r>
      <w:proofErr w:type="spellEnd"/>
      <w:r>
        <w:t>:</w:t>
      </w:r>
    </w:p>
    <w:p w14:paraId="1DA3174A" w14:textId="77777777" w:rsidR="006C089E" w:rsidRDefault="006C089E" w:rsidP="006C089E">
      <w:pPr>
        <w:pStyle w:val="NormalWeb"/>
        <w:spacing w:before="240" w:beforeAutospacing="0" w:after="0" w:afterAutospacing="0"/>
      </w:pPr>
      <w:r>
        <w:t>Questions must be asked before answers can be given. The questions are an expression of our interest in the world, they are at bottom valuations. Valuations are thus necessarily involved, not only at the stage when we draw political inferences from facts and valuations but already at the stage when we observe facts and carry on theoretical analysis.</w:t>
      </w:r>
      <w:hyperlink r:id="rId18" w:anchor="s9781506300108.i3753" w:history="1">
        <w:r>
          <w:rPr>
            <w:rStyle w:val="Hyperlink"/>
            <w:vertAlign w:val="superscript"/>
          </w:rPr>
          <w:t>11</w:t>
        </w:r>
      </w:hyperlink>
    </w:p>
    <w:p w14:paraId="14C12C24" w14:textId="77777777" w:rsidR="006C089E" w:rsidRDefault="006C089E" w:rsidP="006C089E">
      <w:pPr>
        <w:pStyle w:val="NormalWeb"/>
        <w:spacing w:before="240" w:beforeAutospacing="0" w:after="0" w:afterAutospacing="0"/>
      </w:pPr>
      <w:r>
        <w:t>Watts and Zimmerman do concede that from the perspective of both researcher and user, values do indeed underlie research.</w:t>
      </w:r>
      <w:hyperlink r:id="rId19" w:anchor="s9781506300108.i3755" w:history="1">
        <w:r>
          <w:rPr>
            <w:rStyle w:val="Hyperlink"/>
            <w:vertAlign w:val="superscript"/>
          </w:rPr>
          <w:t>12</w:t>
        </w:r>
      </w:hyperlink>
      <w:r>
        <w:t> Furthermore, Christenson has discussed the fact that positive research is not concerned with accounting issues per se but rather with the behavior of those who prepare and use accounting data ' accountants, management, and users. The choice of issues to be addressed certainly involves values as Myrdal has so forcefully stated. Even though positive research is concerned with a different type of issue ' behavioral relationships ' than conventional accounting research, this does not necessarily mean that it is value free. An example of the difficulty of maintaining a value-free orientation is provided in a list of “positive” questions provided by a positive researcher. One entry on this list:</w:t>
      </w:r>
    </w:p>
    <w:p w14:paraId="51C73064" w14:textId="77777777" w:rsidR="006C089E" w:rsidRDefault="006C089E" w:rsidP="006C089E">
      <w:pPr>
        <w:pStyle w:val="NormalWeb"/>
        <w:spacing w:before="240" w:beforeAutospacing="0" w:after="0" w:afterAutospacing="0"/>
      </w:pPr>
      <w:r>
        <w:t>Why has the accounting profession been </w:t>
      </w:r>
      <w:r>
        <w:rPr>
          <w:i/>
          <w:iCs/>
        </w:rPr>
        <w:t>cursed</w:t>
      </w:r>
      <w:r>
        <w:t> [italics added] with a strong authoritative bias ' resulting in the establishment of professional bodies such as the Committee on Accounting Procedure (CAP), Accounting Principles Board (APB), and the FASB to rule on “generally accepted accounting techniques”?</w:t>
      </w:r>
      <w:hyperlink r:id="rId20" w:anchor="s9781506300108.i3757" w:history="1">
        <w:r>
          <w:rPr>
            <w:rStyle w:val="Hyperlink"/>
            <w:vertAlign w:val="superscript"/>
          </w:rPr>
          <w:t>13</w:t>
        </w:r>
      </w:hyperlink>
    </w:p>
    <w:p w14:paraId="61983D36" w14:textId="77777777" w:rsidR="006C089E" w:rsidRDefault="006C089E" w:rsidP="006C089E">
      <w:pPr>
        <w:pStyle w:val="NormalWeb"/>
        <w:spacing w:before="240" w:beforeAutospacing="0" w:after="0" w:afterAutospacing="0"/>
      </w:pPr>
      <w:r>
        <w:t>This question certainly contains strong biases of its own. A value judgment is obviously involved in asking whether standard-setting bodies have or have not been successful. While empirical research attempts to be descriptive, it is virtually impossible for investigators to be totally neutral as they attempt to determine “what is.”</w:t>
      </w:r>
      <w:hyperlink r:id="rId21" w:anchor="s9781506300108.i3759" w:history="1">
        <w:r>
          <w:rPr>
            <w:rStyle w:val="Hyperlink"/>
            <w:vertAlign w:val="superscript"/>
          </w:rPr>
          <w:t>14</w:t>
        </w:r>
      </w:hyperlink>
      <w:r>
        <w:t> Recognition of this fact by researchers might well improve the nature and findings of descriptive theories.</w:t>
      </w:r>
      <w:hyperlink r:id="rId22" w:anchor="s9781506300108.i3761" w:history="1">
        <w:r>
          <w:rPr>
            <w:rStyle w:val="Hyperlink"/>
            <w:vertAlign w:val="superscript"/>
          </w:rPr>
          <w:t>15</w:t>
        </w:r>
      </w:hyperlink>
    </w:p>
    <w:p w14:paraId="287130B6" w14:textId="77777777" w:rsidR="006C089E" w:rsidRDefault="006C089E" w:rsidP="006C089E">
      <w:pPr>
        <w:pStyle w:val="NormalWeb"/>
        <w:spacing w:before="240" w:beforeAutospacing="0" w:after="0" w:afterAutospacing="0"/>
      </w:pPr>
      <w:r>
        <w:lastRenderedPageBreak/>
        <w:t>Finally, on the output side, one of the purposes of positive research is to satisfy “information demand” by managers, auditors, users (financial analysts and creditors), and standard setters.</w:t>
      </w:r>
      <w:hyperlink r:id="rId23" w:anchor="s9781506300108.i3763" w:history="1">
        <w:r>
          <w:rPr>
            <w:rStyle w:val="Hyperlink"/>
            <w:vertAlign w:val="superscript"/>
          </w:rPr>
          <w:t>16</w:t>
        </w:r>
      </w:hyperlink>
      <w:r>
        <w:t> These groups look to positive research to maximize their own welfare.</w:t>
      </w:r>
      <w:hyperlink r:id="rId24" w:anchor="s9781506300108.i3765" w:history="1">
        <w:r>
          <w:rPr>
            <w:rStyle w:val="Hyperlink"/>
            <w:vertAlign w:val="superscript"/>
          </w:rPr>
          <w:t>17</w:t>
        </w:r>
      </w:hyperlink>
      <w:r>
        <w:t> The assumption ' which is really a tautology ' that individuals act in their own best self-interest appears to be the principal underlying postulate of positive accounting research. Hence, it is highly unlikely that positive researchers themselves could be free of their own underlying postulate.</w:t>
      </w:r>
    </w:p>
    <w:p w14:paraId="3CBADEAD" w14:textId="1B06341C" w:rsidR="006C089E" w:rsidRDefault="006C089E"/>
    <w:p w14:paraId="68183430" w14:textId="77777777" w:rsidR="006C089E" w:rsidRDefault="006C089E" w:rsidP="006C089E">
      <w:pPr>
        <w:pStyle w:val="Heading2"/>
        <w:spacing w:before="240" w:beforeAutospacing="0" w:after="0" w:afterAutospacing="0"/>
        <w:rPr>
          <w:sz w:val="34"/>
          <w:szCs w:val="34"/>
        </w:rPr>
      </w:pPr>
      <w:r>
        <w:rPr>
          <w:sz w:val="34"/>
          <w:szCs w:val="34"/>
        </w:rPr>
        <w:t>Global and Particularistic Theories</w:t>
      </w:r>
    </w:p>
    <w:p w14:paraId="03970143" w14:textId="77777777" w:rsidR="006C089E" w:rsidRDefault="006C089E" w:rsidP="006C089E">
      <w:pPr>
        <w:pStyle w:val="NormalWeb"/>
        <w:spacing w:before="240" w:beforeAutospacing="0" w:after="0" w:afterAutospacing="0"/>
      </w:pPr>
      <w:r>
        <w:t xml:space="preserve">A more sharply defined difference between deductive and inductive systems is that the former </w:t>
      </w:r>
      <w:proofErr w:type="gramStart"/>
      <w:r>
        <w:t>are</w:t>
      </w:r>
      <w:proofErr w:type="gramEnd"/>
      <w:r>
        <w:t xml:space="preserve"> sometimes global (macro) in content, whereas the latter are usually particularistic (micro). Where the premises of deductive systems are total or all-encompassing in nature, their conclusions must be sweeping. Within the context of accounting, examples of the global approach are the theories that advocate one type of valuation system for all accounts, as illustrated in Appendix 1-A. Inductive systems, because they are grounded in real-world phenomena, can realistically focus on only a small part of the relevant environment. In other words, inductive research tends to examine rather narrowly defined questions and problems. Again, the Watts and Zimmerman (1978) paper provides a representative example of the narrow scope of inductive theory.</w:t>
      </w:r>
    </w:p>
    <w:p w14:paraId="5318296D" w14:textId="77777777" w:rsidR="006C089E" w:rsidRDefault="006C089E" w:rsidP="006C089E">
      <w:pPr>
        <w:pStyle w:val="NormalWeb"/>
        <w:spacing w:before="240" w:beforeAutospacing="0" w:after="0" w:afterAutospacing="0"/>
      </w:pPr>
      <w:r>
        <w:t>Many individuals (Nelson, for example) see global theories of accounting at an impasse.</w:t>
      </w:r>
      <w:hyperlink r:id="rId25" w:anchor="s9781506300108.i3767" w:history="1">
        <w:r>
          <w:rPr>
            <w:rStyle w:val="Hyperlink"/>
            <w:vertAlign w:val="superscript"/>
          </w:rPr>
          <w:t>18</w:t>
        </w:r>
      </w:hyperlink>
      <w:r>
        <w:t> The </w:t>
      </w:r>
      <w:r>
        <w:rPr>
          <w:i/>
          <w:iCs/>
        </w:rPr>
        <w:t>Statement on Accounting Theory and Theory Acceptance</w:t>
      </w:r>
      <w:r>
        <w:t> (1977) of the American Accounting Association regarded the conflict among global accounting theories as irresolvable at that particular time.</w:t>
      </w:r>
      <w:hyperlink r:id="rId26" w:anchor="s9781506300108.i3769" w:history="1">
        <w:r>
          <w:rPr>
            <w:rStyle w:val="Hyperlink"/>
            <w:vertAlign w:val="superscript"/>
          </w:rPr>
          <w:t>19</w:t>
        </w:r>
      </w:hyperlink>
      <w:r>
        <w:t> Caplan saw the future direction of accounting research in inductive theory because it could shed light on particular questions.</w:t>
      </w:r>
      <w:hyperlink r:id="rId27" w:anchor="s9781506300108.i3771" w:history="1">
        <w:r>
          <w:rPr>
            <w:rStyle w:val="Hyperlink"/>
            <w:vertAlign w:val="superscript"/>
          </w:rPr>
          <w:t>20</w:t>
        </w:r>
      </w:hyperlink>
      <w:r>
        <w:t> Nevertheless, there continue to be important advocates of normative approaches.</w:t>
      </w:r>
      <w:hyperlink r:id="rId28" w:anchor="s9781506300108.i3773" w:history="1">
        <w:r>
          <w:rPr>
            <w:rStyle w:val="Hyperlink"/>
            <w:vertAlign w:val="superscript"/>
          </w:rPr>
          <w:t>21</w:t>
        </w:r>
      </w:hyperlink>
      <w:r>
        <w:t> In fact, the distinction between deductive and inductive research is simply not clear-cut.</w:t>
      </w:r>
    </w:p>
    <w:p w14:paraId="60FA1C61" w14:textId="77777777" w:rsidR="006C089E" w:rsidRDefault="006C089E" w:rsidP="006C089E">
      <w:pPr>
        <w:pStyle w:val="Heading2"/>
        <w:spacing w:before="240" w:beforeAutospacing="0" w:after="0" w:afterAutospacing="0"/>
        <w:rPr>
          <w:sz w:val="34"/>
          <w:szCs w:val="34"/>
        </w:rPr>
      </w:pPr>
      <w:r>
        <w:rPr>
          <w:sz w:val="34"/>
          <w:szCs w:val="34"/>
        </w:rPr>
        <w:t>Complementary Nature of Deductive and Inductive Methods</w:t>
      </w:r>
    </w:p>
    <w:p w14:paraId="761F90A6" w14:textId="77777777" w:rsidR="006C089E" w:rsidRDefault="006C089E" w:rsidP="006C089E">
      <w:pPr>
        <w:pStyle w:val="NormalWeb"/>
        <w:spacing w:before="240" w:beforeAutospacing="0" w:after="0" w:afterAutospacing="0"/>
      </w:pPr>
      <w:r>
        <w:t>The deductive – inductive distinction in research, although a good concept for teaching purposes, often does not apply in practice. Far from being either/or competitive approaches, deduction and induction are complementary in nature and often are used together.</w:t>
      </w:r>
      <w:hyperlink r:id="rId29" w:anchor="s9781506300108.i3775" w:history="1">
        <w:r>
          <w:rPr>
            <w:rStyle w:val="Hyperlink"/>
            <w:vertAlign w:val="superscript"/>
          </w:rPr>
          <w:t>22</w:t>
        </w:r>
      </w:hyperlink>
      <w:r>
        <w:t> </w:t>
      </w:r>
      <w:proofErr w:type="spellStart"/>
      <w:r>
        <w:t>Hakansson</w:t>
      </w:r>
      <w:proofErr w:type="spellEnd"/>
      <w:r>
        <w:t>, for example, suggested that the inductive method can be used to assess the appropriateness of the set of originally selected premises in a primarily deductive system.</w:t>
      </w:r>
      <w:hyperlink r:id="rId30" w:anchor="s9781506300108.i3777" w:history="1">
        <w:r>
          <w:rPr>
            <w:rStyle w:val="Hyperlink"/>
            <w:vertAlign w:val="superscript"/>
          </w:rPr>
          <w:t>23</w:t>
        </w:r>
      </w:hyperlink>
      <w:r>
        <w:t> Obviously, changing the premises can change the logically derived conclusions. The research process itself does not always follow a precise pattern. Researchers often work backward from the conclusions of other studies by developing new hypotheses that appear to fit the data. They then attempt to test the new hypotheses.</w:t>
      </w:r>
    </w:p>
    <w:p w14:paraId="33FD2139" w14:textId="77777777" w:rsidR="006C089E" w:rsidRDefault="006C089E" w:rsidP="006C089E">
      <w:pPr>
        <w:pStyle w:val="NormalWeb"/>
        <w:spacing w:before="240" w:beforeAutospacing="0" w:after="0" w:afterAutospacing="0"/>
      </w:pPr>
      <w:r>
        <w:t xml:space="preserve">The methods used by the greatest detective in all literature, Sherlock Holmes, renowned for his extraordinary powers of deductive reasoning, provide an excellent example of the complementary nature of deductive and inductive reasoning. In one of Holmes ' s cases, Silver Blaze, a famous racehorse, mysteriously disappeared when its trainer was murdered. One </w:t>
      </w:r>
      <w:r>
        <w:lastRenderedPageBreak/>
        <w:t>element of the case was that the watchdog did not bark when the horse disappeared. Dr. Watson, Holmes ' s somewhat slow-witted sidekick, saw nothing unusual about the dog not barking. Holmes, however, immediately deduced that the horse was taken from the stable by someone from the household rather than by an outsider. Thus, his list of suspects was immediately narrowed. Holmes was also keenly aware of induction: He systematically observed elements that would increase his knowledge and perceptions. Extensive studies of such diverse items as cigar ashes, the influence of various trades on the form of the hand, and the uses of plaster of Paris for preserving hand and footprints added considerable depth to his deductive abilities.</w:t>
      </w:r>
    </w:p>
    <w:p w14:paraId="10F0575C" w14:textId="77777777" w:rsidR="006C089E" w:rsidRDefault="006C089E" w:rsidP="006C089E">
      <w:pPr>
        <w:pStyle w:val="NormalWeb"/>
        <w:spacing w:before="240" w:beforeAutospacing="0" w:after="0" w:afterAutospacing="0"/>
      </w:pPr>
      <w:r>
        <w:t>In a not dissimilar fashion, inductive research in accounting can help to shed light on relationships and phenomena existing in the business environment. This research, in turn, can be useful in the policy-making process in which deductive reasoning helps to determine rules that are to be prescribed. Hence, it should be clear that inductive and deductive methods can be used together and are not mutually exclusive approaches, despite the impossibility of keeping inductive research value free.</w:t>
      </w:r>
    </w:p>
    <w:p w14:paraId="5809D7CF" w14:textId="64A3F23A" w:rsidR="006C089E" w:rsidRDefault="006C089E"/>
    <w:p w14:paraId="143F6B1E" w14:textId="77777777" w:rsidR="006C089E" w:rsidRDefault="006C089E" w:rsidP="006C089E">
      <w:pPr>
        <w:pStyle w:val="Heading1"/>
        <w:spacing w:before="240" w:beforeAutospacing="0" w:after="0" w:afterAutospacing="0"/>
        <w:rPr>
          <w:sz w:val="36"/>
          <w:szCs w:val="36"/>
        </w:rPr>
      </w:pPr>
      <w:r>
        <w:rPr>
          <w:sz w:val="36"/>
          <w:szCs w:val="36"/>
        </w:rPr>
        <w:t>Is Accounting an Art or a Science?</w:t>
      </w:r>
    </w:p>
    <w:p w14:paraId="5FFD0BAE" w14:textId="77777777" w:rsidR="006C089E" w:rsidRDefault="006C089E" w:rsidP="006C089E">
      <w:pPr>
        <w:pStyle w:val="NormalWeb"/>
        <w:spacing w:before="240" w:beforeAutospacing="0" w:after="0" w:afterAutospacing="0"/>
      </w:pPr>
      <w:r>
        <w:t>Both the rule-making structure and the practice of accounting occasionally raise the question of whether accounting is an art or a science. At least one author (in the 1940s) perceived it as a science.</w:t>
      </w:r>
      <w:hyperlink r:id="rId31" w:anchor="s9781506300108.i3779" w:history="1">
        <w:r>
          <w:rPr>
            <w:rStyle w:val="Hyperlink"/>
            <w:vertAlign w:val="superscript"/>
          </w:rPr>
          <w:t>24</w:t>
        </w:r>
      </w:hyperlink>
      <w:r>
        <w:t> However, he did not really set up criteria for defining a science, except his own particular prejudices in terms of valuation issues. Somewhat later, another author maintained that accounting was very closely related to the liberal arts.</w:t>
      </w:r>
      <w:hyperlink r:id="rId32" w:anchor="s9781506300108.i3781" w:history="1">
        <w:r>
          <w:rPr>
            <w:rStyle w:val="Hyperlink"/>
            <w:vertAlign w:val="superscript"/>
          </w:rPr>
          <w:t>25</w:t>
        </w:r>
      </w:hyperlink>
      <w:r>
        <w:t xml:space="preserve"> Accounting itself was seen as a “practical art.” However, that author did not present any real criteria for distinguishing between an art and a science. </w:t>
      </w:r>
      <w:proofErr w:type="gramStart"/>
      <w:r>
        <w:t>Certainly</w:t>
      </w:r>
      <w:proofErr w:type="gramEnd"/>
      <w:r>
        <w:t xml:space="preserve"> we can see that discussing accounting in terms of scientific method and the role of measurement theory in accounting potentially places accounting within the scientific domain.</w:t>
      </w:r>
    </w:p>
    <w:p w14:paraId="09B5EB61" w14:textId="77777777" w:rsidR="006C089E" w:rsidRDefault="006C089E" w:rsidP="006C089E">
      <w:pPr>
        <w:pStyle w:val="NormalWeb"/>
        <w:spacing w:before="240" w:beforeAutospacing="0" w:after="0" w:afterAutospacing="0"/>
      </w:pPr>
      <w:r>
        <w:t>In an important article and a follow-up book, Sterling attempted to clarify the position of accounting relative to science.</w:t>
      </w:r>
      <w:hyperlink r:id="rId33" w:anchor="s9781506300108.i3783" w:history="1">
        <w:r>
          <w:rPr>
            <w:rStyle w:val="Hyperlink"/>
            <w:vertAlign w:val="superscript"/>
          </w:rPr>
          <w:t>26</w:t>
        </w:r>
      </w:hyperlink>
      <w:r>
        <w:t> He points out that the arts rely heavily on the personal interpretations of practitioners. For example, one painter might represent a model as having three eyes, whereas another painter might use the conventional two eyes ' and a green nose ' to represent the same subject. In science, however, he argues that there should be a relatively high amount of agreement among practitioners about the phenomena being observed and measured (notice the relationship of Sterling ' s definition of a science to the concept of measurement).</w:t>
      </w:r>
    </w:p>
    <w:p w14:paraId="2313A18F" w14:textId="77777777" w:rsidR="006C089E" w:rsidRDefault="006C089E" w:rsidP="006C089E">
      <w:pPr>
        <w:pStyle w:val="NormalWeb"/>
        <w:spacing w:before="240" w:beforeAutospacing="0" w:after="0" w:afterAutospacing="0"/>
      </w:pPr>
      <w:r>
        <w:t xml:space="preserve">Sterling believes that accounting, as presently practiced, is far closer to an art than a science ' owing to the way accountants define problems. In the case of depreciation, for example, a great deal of latitude is allowed in our measurements (if that is even the appropriate word) in selecting a depreciation method as well as deciding on an estimated number of years of life and a salvage value. The result is a low degree of verifiability, as well as the fact that no real attribute of the asset or the related expense calculation emerges except for the vague concepts of unamortized historical cost and depreciation expense. A scientific approach, on the other hand, would strive to institute rigorous measurement procedures resulting in economically meaningful attributes, such as replacement cost or net realizable value of the asset or other elements being measured. The </w:t>
      </w:r>
      <w:r>
        <w:lastRenderedPageBreak/>
        <w:t>intention would be to provide information useful for either predictive or assessment purposes. These objectives are not being well served under our present rules.</w:t>
      </w:r>
    </w:p>
    <w:p w14:paraId="4329C311" w14:textId="77777777" w:rsidR="006C089E" w:rsidRDefault="006C089E" w:rsidP="006C089E">
      <w:pPr>
        <w:pStyle w:val="NormalWeb"/>
        <w:spacing w:before="240" w:beforeAutospacing="0" w:after="0" w:afterAutospacing="0"/>
      </w:pPr>
      <w:r>
        <w:t>Whether rigidly specified measurement procedures can be instituted to bring about a high degree of consensus among measurers in accounting is, of course, an extremely important question. However, scientists do not always come up with uniform measurements or interpretations of what they are measuring. Three examples from other disciplines should help to clarify this point.</w:t>
      </w:r>
    </w:p>
    <w:p w14:paraId="342D2E08" w14:textId="77777777" w:rsidR="006C089E" w:rsidRDefault="006C089E" w:rsidP="006C089E">
      <w:pPr>
        <w:pStyle w:val="Heading2"/>
        <w:spacing w:before="240" w:beforeAutospacing="0" w:after="0" w:afterAutospacing="0"/>
        <w:rPr>
          <w:sz w:val="34"/>
          <w:szCs w:val="34"/>
        </w:rPr>
      </w:pPr>
      <w:r>
        <w:rPr>
          <w:sz w:val="34"/>
          <w:szCs w:val="34"/>
        </w:rPr>
        <w:t>Econometrics</w:t>
      </w:r>
    </w:p>
    <w:p w14:paraId="444BADFD" w14:textId="77777777" w:rsidR="006C089E" w:rsidRDefault="006C089E" w:rsidP="006C089E">
      <w:pPr>
        <w:pStyle w:val="NormalWeb"/>
        <w:spacing w:before="240" w:beforeAutospacing="0" w:after="0" w:afterAutospacing="0"/>
      </w:pPr>
      <w:r>
        <w:t xml:space="preserve">One of the principal functions of econometricians (literally, “economic measurers”) is predicting gross domestic product and related variables, such as the percentage of unemployment. There are several large models that have been constructed </w:t>
      </w:r>
      <w:proofErr w:type="gramStart"/>
      <w:r>
        <w:t>in an attempt to</w:t>
      </w:r>
      <w:proofErr w:type="gramEnd"/>
      <w:r>
        <w:t xml:space="preserve"> predict these variables. The models employ hundreds of simultaneous equations that must be solved by computer to generate the predictions. However, considerable disagreement exists among the models, and their predictions are often far from accurate when the actual results are tabulated. A further complicating factor is that the predictions interact with the results because many large corporations, as well as the federal government, use the services of econometric forecasters, which, of course, influence their actions. Nevertheless, the term </w:t>
      </w:r>
      <w:r>
        <w:rPr>
          <w:i/>
          <w:iCs/>
        </w:rPr>
        <w:t>economic science</w:t>
      </w:r>
      <w:r>
        <w:t> has been used to describe what econometricians do, although some may dispute the characterization.</w:t>
      </w:r>
    </w:p>
    <w:p w14:paraId="265EAEE2" w14:textId="77777777" w:rsidR="006C089E" w:rsidRDefault="006C089E" w:rsidP="006C089E">
      <w:pPr>
        <w:pStyle w:val="Heading2"/>
        <w:spacing w:before="240" w:beforeAutospacing="0" w:after="0" w:afterAutospacing="0"/>
        <w:rPr>
          <w:sz w:val="34"/>
          <w:szCs w:val="34"/>
        </w:rPr>
      </w:pPr>
      <w:r>
        <w:rPr>
          <w:sz w:val="34"/>
          <w:szCs w:val="34"/>
        </w:rPr>
        <w:t>Climatology</w:t>
      </w:r>
    </w:p>
    <w:p w14:paraId="1967E421" w14:textId="77777777" w:rsidR="006C089E" w:rsidRDefault="006C089E" w:rsidP="006C089E">
      <w:pPr>
        <w:pStyle w:val="NormalWeb"/>
        <w:spacing w:before="240" w:beforeAutospacing="0" w:after="0" w:afterAutospacing="0"/>
      </w:pPr>
      <w:r>
        <w:t>Although the computer has become an invaluable tool for scientific research, it has been unable to penetrate the mysteries and eliminate the controversies of the greenhouse effect in climatology.</w:t>
      </w:r>
    </w:p>
    <w:p w14:paraId="41A7792A" w14:textId="77777777" w:rsidR="006C089E" w:rsidRDefault="006C089E" w:rsidP="006C089E">
      <w:pPr>
        <w:pStyle w:val="NormalWeb"/>
        <w:spacing w:before="240" w:beforeAutospacing="0" w:after="0" w:afterAutospacing="0"/>
      </w:pPr>
      <w:r>
        <w:t>These estimates, which have been used to great effect by environmentalists, are based on computer simulations of future climate change, or, as they are called in the trade, General Circulation Models. In fact, every greenhouse forecast ' every dire prediction of dangerous heat waves, droughts, flooding, radically shifting weather patterns, and the like ' is the result of computers attempting to model the myriad factors that influence climate change . . . the body of the report, which was written and reviewed by climate scientists, raises all kinds of doubts about the models ' reliability. Climate modeling is a difficult and expensive proposition, and modelers themselves are the last to claim that their computers give them much predictive power.</w:t>
      </w:r>
    </w:p>
    <w:p w14:paraId="50E01C6B" w14:textId="77777777" w:rsidR="006C089E" w:rsidRDefault="006C089E" w:rsidP="006C089E">
      <w:pPr>
        <w:pStyle w:val="NormalWeb"/>
        <w:spacing w:before="240" w:beforeAutospacing="0" w:after="0" w:afterAutospacing="0"/>
      </w:pPr>
      <w:r>
        <w:t>This is for good reason. The General Circulation Models attempt to mimic our climate system by using a mathematical simulation of the earth and its oceans and atmosphere. Unfortunately, the mechanisms of our climate are extremely complicated. Take cloud cover, one of the most obvious factors in climate change. Clouds create a problem for the greenhouse models because their influence far outweighs any possible effect of man-made emissions. It is nearly impossible to predict what kinds of clouds will form, or even whether they will serve to enhance or diminish global warming. Depending on your assumptions, you can have the model arrive at pretty much whatever answer you want.</w:t>
      </w:r>
      <w:hyperlink r:id="rId34" w:anchor="s9781506300108.i3785" w:history="1">
        <w:r>
          <w:rPr>
            <w:rStyle w:val="Hyperlink"/>
            <w:vertAlign w:val="superscript"/>
          </w:rPr>
          <w:t>27</w:t>
        </w:r>
      </w:hyperlink>
    </w:p>
    <w:p w14:paraId="40AF1EBF" w14:textId="77777777" w:rsidR="006C089E" w:rsidRDefault="006C089E" w:rsidP="006C089E">
      <w:pPr>
        <w:pStyle w:val="NormalWeb"/>
        <w:spacing w:before="240" w:beforeAutospacing="0" w:after="0" w:afterAutospacing="0"/>
      </w:pPr>
      <w:r>
        <w:t>Again, computers are extremely useful, but model building, as in the case of climatology, may be no better than the assumptions used by the researcher.</w:t>
      </w:r>
    </w:p>
    <w:p w14:paraId="193B521E" w14:textId="77777777" w:rsidR="006C089E" w:rsidRDefault="006C089E" w:rsidP="006C089E">
      <w:pPr>
        <w:pStyle w:val="Heading2"/>
        <w:spacing w:before="240" w:beforeAutospacing="0" w:after="0" w:afterAutospacing="0"/>
        <w:rPr>
          <w:sz w:val="34"/>
          <w:szCs w:val="34"/>
        </w:rPr>
      </w:pPr>
      <w:r>
        <w:rPr>
          <w:sz w:val="34"/>
          <w:szCs w:val="34"/>
        </w:rPr>
        <w:lastRenderedPageBreak/>
        <w:t>Human Anthropology</w:t>
      </w:r>
    </w:p>
    <w:p w14:paraId="13C9FC61" w14:textId="77777777" w:rsidR="006C089E" w:rsidRDefault="006C089E" w:rsidP="006C089E">
      <w:pPr>
        <w:pStyle w:val="NormalWeb"/>
        <w:spacing w:before="240" w:beforeAutospacing="0" w:after="0" w:afterAutospacing="0"/>
      </w:pPr>
      <w:r>
        <w:t>Going further afield, we take an example from human anthropology, which is concerned with the study of ancient people and their forebears. In the mid-1970s, an almost complete female skeleton (missing the skull) was discovered in a remote desert in Ethiopia. The skeleton of this species, named </w:t>
      </w:r>
      <w:r>
        <w:rPr>
          <w:i/>
          <w:iCs/>
        </w:rPr>
        <w:t>Australopithecus afarensis,</w:t>
      </w:r>
      <w:r>
        <w:t xml:space="preserve"> is affectionately and unscientifically known as “Lucy” (because its discoverers jubilantly played “Lucy in the Sky </w:t>
      </w:r>
      <w:proofErr w:type="gramStart"/>
      <w:r>
        <w:t>With</w:t>
      </w:r>
      <w:proofErr w:type="gramEnd"/>
      <w:r>
        <w:t xml:space="preserve"> Diamonds” and other Beatles ' songs after the discovery was made). Lucy has been subjected to many scientific measurements, including carbon dating, which put her age at approximately 3,500,000 years. In addition, </w:t>
      </w:r>
      <w:proofErr w:type="gramStart"/>
      <w:r>
        <w:t>careful scrutiny</w:t>
      </w:r>
      <w:proofErr w:type="gramEnd"/>
      <w:r>
        <w:t xml:space="preserve"> of the structure of the leg and thigh bones indicated that the creature walked upright like humans rather than with the shambling gait of members of the ape family.</w:t>
      </w:r>
    </w:p>
    <w:p w14:paraId="46E3C08C" w14:textId="77777777" w:rsidR="006C089E" w:rsidRDefault="006C089E" w:rsidP="006C089E">
      <w:pPr>
        <w:pStyle w:val="NormalWeb"/>
        <w:spacing w:before="240" w:beforeAutospacing="0" w:after="0" w:afterAutospacing="0"/>
      </w:pPr>
      <w:r>
        <w:t>Nevertheless, a huge controversy surrounded this species, </w:t>
      </w:r>
      <w:r>
        <w:rPr>
          <w:i/>
          <w:iCs/>
        </w:rPr>
        <w:t>Australopithecus afarensis.</w:t>
      </w:r>
      <w:r>
        <w:t> Some anthropologists, particularly its discoverers, maintained that it was a true ancestor of the line that eventually became humankind. Other anthropologists, though, thought that the species was not a true progenitor of humans. Fortunately, more scientific evidence was found. Early in 1994, it was announced that the skull of a large male of the same species as Lucy was found about a mile from where she was discovered. While the argument still has not been decided, the evidence is now much stronger that </w:t>
      </w:r>
      <w:r>
        <w:rPr>
          <w:i/>
          <w:iCs/>
        </w:rPr>
        <w:t>Australopithecus afarensis</w:t>
      </w:r>
      <w:r>
        <w:t> is indeed a genuine forebear of humankind. Scientific reasoning and assessment of evidence can be a slow and painstaking process with definitive answers not easily forthcoming.</w:t>
      </w:r>
    </w:p>
    <w:p w14:paraId="2A5E9440" w14:textId="77777777" w:rsidR="006C089E" w:rsidRDefault="006C089E" w:rsidP="006C089E">
      <w:pPr>
        <w:pStyle w:val="Heading2"/>
        <w:spacing w:before="240" w:beforeAutospacing="0" w:after="0" w:afterAutospacing="0"/>
        <w:rPr>
          <w:sz w:val="34"/>
          <w:szCs w:val="34"/>
        </w:rPr>
      </w:pPr>
      <w:r>
        <w:rPr>
          <w:sz w:val="34"/>
          <w:szCs w:val="34"/>
        </w:rPr>
        <w:t>Summary of Accounting as a Science</w:t>
      </w:r>
    </w:p>
    <w:p w14:paraId="096A297B" w14:textId="77777777" w:rsidR="006C089E" w:rsidRDefault="006C089E" w:rsidP="006C089E">
      <w:pPr>
        <w:pStyle w:val="NormalWeb"/>
        <w:spacing w:before="240" w:beforeAutospacing="0" w:after="0" w:afterAutospacing="0"/>
      </w:pPr>
      <w:r>
        <w:t xml:space="preserve">These three examples demonstrate that science is not always </w:t>
      </w:r>
      <w:proofErr w:type="gramStart"/>
      <w:r>
        <w:t>exact</w:t>
      </w:r>
      <w:proofErr w:type="gramEnd"/>
      <w:r>
        <w:t xml:space="preserve"> and scientists do not always agree on the results of their work. Bearing this in mind, we can say, along with Sterling, that accounting has the potential to become a science, an outcome that should be pleasing to all involved. However, accounting is largely concerned with the human element, which is less controllable than the physical phenomena measured in the natural sciences. Consequently, we can expect accounting, along with economics and other social sciences, to be less precise in its measurements and predictions than the natural sciences.</w:t>
      </w:r>
      <w:hyperlink r:id="rId35" w:anchor="s9781506300108.i3787" w:history="1">
        <w:r>
          <w:rPr>
            <w:rStyle w:val="Hyperlink"/>
            <w:vertAlign w:val="superscript"/>
          </w:rPr>
          <w:t>28</w:t>
        </w:r>
      </w:hyperlink>
    </w:p>
    <w:p w14:paraId="48C5F913" w14:textId="77777777" w:rsidR="006C089E" w:rsidRDefault="006C089E" w:rsidP="006C089E">
      <w:pPr>
        <w:pStyle w:val="Heading1"/>
        <w:spacing w:before="240" w:beforeAutospacing="0" w:after="0" w:afterAutospacing="0"/>
        <w:rPr>
          <w:sz w:val="36"/>
          <w:szCs w:val="36"/>
        </w:rPr>
      </w:pPr>
      <w:r>
        <w:rPr>
          <w:sz w:val="36"/>
          <w:szCs w:val="36"/>
        </w:rPr>
        <w:t>Directions in Accounting Research</w:t>
      </w:r>
    </w:p>
    <w:p w14:paraId="6DF119E1" w14:textId="77777777" w:rsidR="006C089E" w:rsidRDefault="006C089E" w:rsidP="006C089E">
      <w:pPr>
        <w:pStyle w:val="NormalWeb"/>
        <w:spacing w:before="240" w:beforeAutospacing="0" w:after="0" w:afterAutospacing="0"/>
      </w:pPr>
      <w:r>
        <w:t xml:space="preserve">The approaches discussed below represent </w:t>
      </w:r>
      <w:proofErr w:type="gramStart"/>
      <w:r>
        <w:t>particular orientations</w:t>
      </w:r>
      <w:proofErr w:type="gramEnd"/>
      <w:r>
        <w:t xml:space="preserve"> or directions of accounting research. They represent a significant change over the purely normative research of two generations ago.</w:t>
      </w:r>
    </w:p>
    <w:p w14:paraId="00908A1E" w14:textId="2A665CAC" w:rsidR="006C089E" w:rsidRDefault="006C089E"/>
    <w:p w14:paraId="3A5F907C" w14:textId="77777777" w:rsidR="006C089E" w:rsidRPr="006C089E" w:rsidRDefault="006C089E" w:rsidP="006C089E">
      <w:pPr>
        <w:spacing w:before="240" w:after="0" w:line="240" w:lineRule="auto"/>
        <w:outlineLvl w:val="1"/>
        <w:rPr>
          <w:rFonts w:ascii="Times New Roman" w:eastAsia="Times New Roman" w:hAnsi="Times New Roman" w:cs="Times New Roman"/>
          <w:b/>
          <w:bCs/>
          <w:sz w:val="34"/>
          <w:szCs w:val="34"/>
        </w:rPr>
      </w:pPr>
      <w:r w:rsidRPr="006C089E">
        <w:rPr>
          <w:rFonts w:ascii="Times New Roman" w:eastAsia="Times New Roman" w:hAnsi="Times New Roman" w:cs="Times New Roman"/>
          <w:b/>
          <w:bCs/>
          <w:sz w:val="34"/>
          <w:szCs w:val="34"/>
        </w:rPr>
        <w:t>The Decision-Model Approach</w:t>
      </w:r>
    </w:p>
    <w:p w14:paraId="7F36CADF"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The </w:t>
      </w:r>
      <w:r w:rsidRPr="006C089E">
        <w:rPr>
          <w:rFonts w:ascii="Times New Roman" w:eastAsia="Times New Roman" w:hAnsi="Times New Roman" w:cs="Times New Roman"/>
          <w:i/>
          <w:iCs/>
          <w:sz w:val="24"/>
          <w:szCs w:val="24"/>
        </w:rPr>
        <w:t>decision-model</w:t>
      </w:r>
      <w:r w:rsidRPr="006C089E">
        <w:rPr>
          <w:rFonts w:ascii="Times New Roman" w:eastAsia="Times New Roman" w:hAnsi="Times New Roman" w:cs="Times New Roman"/>
          <w:sz w:val="24"/>
          <w:szCs w:val="24"/>
        </w:rPr>
        <w:t xml:space="preserve"> approach asks what information is needed for making decisions. From this point of view, financial statements based on entry values, exit values, and discounted cash flows qualify as useful possibilities (see Appendix 1-A). This approach does not ask what information users want but rather concentrates on what information is useful for </w:t>
      </w:r>
      <w:proofErr w:type="gramStart"/>
      <w:r w:rsidRPr="006C089E">
        <w:rPr>
          <w:rFonts w:ascii="Times New Roman" w:eastAsia="Times New Roman" w:hAnsi="Times New Roman" w:cs="Times New Roman"/>
          <w:sz w:val="24"/>
          <w:szCs w:val="24"/>
        </w:rPr>
        <w:t>particular decisions</w:t>
      </w:r>
      <w:proofErr w:type="gramEnd"/>
      <w:r w:rsidRPr="006C089E">
        <w:rPr>
          <w:rFonts w:ascii="Times New Roman" w:eastAsia="Times New Roman" w:hAnsi="Times New Roman" w:cs="Times New Roman"/>
          <w:sz w:val="24"/>
          <w:szCs w:val="24"/>
        </w:rPr>
        <w:t xml:space="preserve">. Thus, </w:t>
      </w:r>
      <w:r w:rsidRPr="006C089E">
        <w:rPr>
          <w:rFonts w:ascii="Times New Roman" w:eastAsia="Times New Roman" w:hAnsi="Times New Roman" w:cs="Times New Roman"/>
          <w:sz w:val="24"/>
          <w:szCs w:val="24"/>
        </w:rPr>
        <w:lastRenderedPageBreak/>
        <w:t>its orientation is normative and deductive. A premise underlying this research is that decision makers may need to be taught how to use this information if they are unfamiliar with it.</w:t>
      </w:r>
      <w:hyperlink r:id="rId36" w:anchor="s9781506300108.i3789" w:history="1">
        <w:r w:rsidRPr="006C089E">
          <w:rPr>
            <w:rFonts w:ascii="Times New Roman" w:eastAsia="Times New Roman" w:hAnsi="Times New Roman" w:cs="Times New Roman"/>
            <w:color w:val="0000FF"/>
            <w:sz w:val="24"/>
            <w:szCs w:val="24"/>
            <w:u w:val="single"/>
            <w:vertAlign w:val="superscript"/>
          </w:rPr>
          <w:t>29</w:t>
        </w:r>
      </w:hyperlink>
    </w:p>
    <w:p w14:paraId="7411C771"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There are many adherents of this school advocating a range of valuation possibilities. Chambers and Sterling advocate the </w:t>
      </w:r>
      <w:r w:rsidRPr="006C089E">
        <w:rPr>
          <w:rFonts w:ascii="Times New Roman" w:eastAsia="Times New Roman" w:hAnsi="Times New Roman" w:cs="Times New Roman"/>
          <w:i/>
          <w:iCs/>
          <w:sz w:val="24"/>
          <w:szCs w:val="24"/>
        </w:rPr>
        <w:t>exit-value</w:t>
      </w:r>
      <w:r w:rsidRPr="006C089E">
        <w:rPr>
          <w:rFonts w:ascii="Times New Roman" w:eastAsia="Times New Roman" w:hAnsi="Times New Roman" w:cs="Times New Roman"/>
          <w:sz w:val="24"/>
          <w:szCs w:val="24"/>
        </w:rPr>
        <w:t> approach because the selling price of assets is relevant to the decision of keeping or disposing of assets.</w:t>
      </w:r>
      <w:hyperlink r:id="rId37" w:anchor="s9781506300108.i3791" w:history="1">
        <w:r w:rsidRPr="006C089E">
          <w:rPr>
            <w:rFonts w:ascii="Times New Roman" w:eastAsia="Times New Roman" w:hAnsi="Times New Roman" w:cs="Times New Roman"/>
            <w:color w:val="0000FF"/>
            <w:sz w:val="24"/>
            <w:szCs w:val="24"/>
            <w:u w:val="single"/>
            <w:vertAlign w:val="superscript"/>
          </w:rPr>
          <w:t>30</w:t>
        </w:r>
      </w:hyperlink>
      <w:r w:rsidRPr="006C089E">
        <w:rPr>
          <w:rFonts w:ascii="Times New Roman" w:eastAsia="Times New Roman" w:hAnsi="Times New Roman" w:cs="Times New Roman"/>
          <w:sz w:val="24"/>
          <w:szCs w:val="24"/>
        </w:rPr>
        <w:t> Also, aggregated exit values of all assets provide a measure of total liquidity available to the enterprise. Bell is a </w:t>
      </w:r>
      <w:r w:rsidRPr="006C089E">
        <w:rPr>
          <w:rFonts w:ascii="Times New Roman" w:eastAsia="Times New Roman" w:hAnsi="Times New Roman" w:cs="Times New Roman"/>
          <w:i/>
          <w:iCs/>
          <w:sz w:val="24"/>
          <w:szCs w:val="24"/>
        </w:rPr>
        <w:t>current-value</w:t>
      </w:r>
      <w:r w:rsidRPr="006C089E">
        <w:rPr>
          <w:rFonts w:ascii="Times New Roman" w:eastAsia="Times New Roman" w:hAnsi="Times New Roman" w:cs="Times New Roman"/>
          <w:sz w:val="24"/>
          <w:szCs w:val="24"/>
        </w:rPr>
        <w:t> advocate who favors the usage of deprival value for assets. </w:t>
      </w:r>
      <w:r w:rsidRPr="006C089E">
        <w:rPr>
          <w:rFonts w:ascii="Times New Roman" w:eastAsia="Times New Roman" w:hAnsi="Times New Roman" w:cs="Times New Roman"/>
          <w:i/>
          <w:iCs/>
          <w:sz w:val="24"/>
          <w:szCs w:val="24"/>
        </w:rPr>
        <w:t>Deprival value</w:t>
      </w:r>
      <w:r w:rsidRPr="006C089E">
        <w:rPr>
          <w:rFonts w:ascii="Times New Roman" w:eastAsia="Times New Roman" w:hAnsi="Times New Roman" w:cs="Times New Roman"/>
          <w:sz w:val="24"/>
          <w:szCs w:val="24"/>
        </w:rPr>
        <w:t> is the lower of (a) replacement cost or (b) the recoverable amount that is the higher of net realizable value or present value.</w:t>
      </w:r>
      <w:hyperlink r:id="rId38" w:anchor="s9781506300108.i3793" w:history="1">
        <w:r w:rsidRPr="006C089E">
          <w:rPr>
            <w:rFonts w:ascii="Times New Roman" w:eastAsia="Times New Roman" w:hAnsi="Times New Roman" w:cs="Times New Roman"/>
            <w:color w:val="0000FF"/>
            <w:sz w:val="24"/>
            <w:szCs w:val="24"/>
            <w:u w:val="single"/>
            <w:vertAlign w:val="superscript"/>
          </w:rPr>
          <w:t>31</w:t>
        </w:r>
      </w:hyperlink>
      <w:r w:rsidRPr="006C089E">
        <w:rPr>
          <w:rFonts w:ascii="Times New Roman" w:eastAsia="Times New Roman" w:hAnsi="Times New Roman" w:cs="Times New Roman"/>
          <w:sz w:val="24"/>
          <w:szCs w:val="24"/>
        </w:rPr>
        <w:t> </w:t>
      </w:r>
      <w:proofErr w:type="spellStart"/>
      <w:r w:rsidRPr="006C089E">
        <w:rPr>
          <w:rFonts w:ascii="Times New Roman" w:eastAsia="Times New Roman" w:hAnsi="Times New Roman" w:cs="Times New Roman"/>
          <w:sz w:val="24"/>
          <w:szCs w:val="24"/>
        </w:rPr>
        <w:t>Solomons</w:t>
      </w:r>
      <w:proofErr w:type="spellEnd"/>
      <w:r w:rsidRPr="006C089E">
        <w:rPr>
          <w:rFonts w:ascii="Times New Roman" w:eastAsia="Times New Roman" w:hAnsi="Times New Roman" w:cs="Times New Roman"/>
          <w:sz w:val="24"/>
          <w:szCs w:val="24"/>
        </w:rPr>
        <w:t xml:space="preserve"> is likewise a deprival-value advocate who is also a vigorous defender of the need for a conceptual framework grounded in recognition and measurement criteria that uphold current value attributes because of their usefulness in decision making.</w:t>
      </w:r>
      <w:hyperlink r:id="rId39" w:anchor="s9781506300108.i3795" w:history="1">
        <w:r w:rsidRPr="006C089E">
          <w:rPr>
            <w:rFonts w:ascii="Times New Roman" w:eastAsia="Times New Roman" w:hAnsi="Times New Roman" w:cs="Times New Roman"/>
            <w:color w:val="0000FF"/>
            <w:sz w:val="24"/>
            <w:szCs w:val="24"/>
            <w:u w:val="single"/>
            <w:vertAlign w:val="superscript"/>
          </w:rPr>
          <w:t>32</w:t>
        </w:r>
      </w:hyperlink>
    </w:p>
    <w:p w14:paraId="691D32C2"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The work of several other important accounting theoreticians also falls into the decision-model approach, even though their valuation orientation does not assume as primary a position as that of Chambers, Sterling, Bell, and </w:t>
      </w:r>
      <w:proofErr w:type="spellStart"/>
      <w:r w:rsidRPr="006C089E">
        <w:rPr>
          <w:rFonts w:ascii="Times New Roman" w:eastAsia="Times New Roman" w:hAnsi="Times New Roman" w:cs="Times New Roman"/>
          <w:sz w:val="24"/>
          <w:szCs w:val="24"/>
        </w:rPr>
        <w:t>Solomons</w:t>
      </w:r>
      <w:proofErr w:type="spellEnd"/>
      <w:r w:rsidRPr="006C089E">
        <w:rPr>
          <w:rFonts w:ascii="Times New Roman" w:eastAsia="Times New Roman" w:hAnsi="Times New Roman" w:cs="Times New Roman"/>
          <w:sz w:val="24"/>
          <w:szCs w:val="24"/>
        </w:rPr>
        <w:t xml:space="preserve">. </w:t>
      </w:r>
      <w:proofErr w:type="spellStart"/>
      <w:r w:rsidRPr="006C089E">
        <w:rPr>
          <w:rFonts w:ascii="Times New Roman" w:eastAsia="Times New Roman" w:hAnsi="Times New Roman" w:cs="Times New Roman"/>
          <w:sz w:val="24"/>
          <w:szCs w:val="24"/>
        </w:rPr>
        <w:t>Ijiri</w:t>
      </w:r>
      <w:proofErr w:type="spellEnd"/>
      <w:r w:rsidRPr="006C089E">
        <w:rPr>
          <w:rFonts w:ascii="Times New Roman" w:eastAsia="Times New Roman" w:hAnsi="Times New Roman" w:cs="Times New Roman"/>
          <w:sz w:val="24"/>
          <w:szCs w:val="24"/>
        </w:rPr>
        <w:t xml:space="preserve">, a strong advocate of the stewardship function, is concerned with the accountability of management (whom </w:t>
      </w:r>
      <w:proofErr w:type="spellStart"/>
      <w:r w:rsidRPr="006C089E">
        <w:rPr>
          <w:rFonts w:ascii="Times New Roman" w:eastAsia="Times New Roman" w:hAnsi="Times New Roman" w:cs="Times New Roman"/>
          <w:sz w:val="24"/>
          <w:szCs w:val="24"/>
        </w:rPr>
        <w:t>Ijiri</w:t>
      </w:r>
      <w:proofErr w:type="spellEnd"/>
      <w:r w:rsidRPr="006C089E">
        <w:rPr>
          <w:rFonts w:ascii="Times New Roman" w:eastAsia="Times New Roman" w:hAnsi="Times New Roman" w:cs="Times New Roman"/>
          <w:sz w:val="24"/>
          <w:szCs w:val="24"/>
        </w:rPr>
        <w:t xml:space="preserve"> refers to as the “</w:t>
      </w:r>
      <w:proofErr w:type="spellStart"/>
      <w:r w:rsidRPr="006C089E">
        <w:rPr>
          <w:rFonts w:ascii="Times New Roman" w:eastAsia="Times New Roman" w:hAnsi="Times New Roman" w:cs="Times New Roman"/>
          <w:sz w:val="24"/>
          <w:szCs w:val="24"/>
        </w:rPr>
        <w:t>accountor</w:t>
      </w:r>
      <w:proofErr w:type="spellEnd"/>
      <w:r w:rsidRPr="006C089E">
        <w:rPr>
          <w:rFonts w:ascii="Times New Roman" w:eastAsia="Times New Roman" w:hAnsi="Times New Roman" w:cs="Times New Roman"/>
          <w:sz w:val="24"/>
          <w:szCs w:val="24"/>
        </w:rPr>
        <w:t xml:space="preserve">”) and owners or </w:t>
      </w:r>
      <w:proofErr w:type="spellStart"/>
      <w:r w:rsidRPr="006C089E">
        <w:rPr>
          <w:rFonts w:ascii="Times New Roman" w:eastAsia="Times New Roman" w:hAnsi="Times New Roman" w:cs="Times New Roman"/>
          <w:sz w:val="24"/>
          <w:szCs w:val="24"/>
        </w:rPr>
        <w:t>accountees</w:t>
      </w:r>
      <w:proofErr w:type="spellEnd"/>
      <w:r w:rsidRPr="006C089E">
        <w:rPr>
          <w:rFonts w:ascii="Times New Roman" w:eastAsia="Times New Roman" w:hAnsi="Times New Roman" w:cs="Times New Roman"/>
          <w:sz w:val="24"/>
          <w:szCs w:val="24"/>
        </w:rPr>
        <w:t xml:space="preserve">. </w:t>
      </w:r>
      <w:proofErr w:type="spellStart"/>
      <w:r w:rsidRPr="006C089E">
        <w:rPr>
          <w:rFonts w:ascii="Times New Roman" w:eastAsia="Times New Roman" w:hAnsi="Times New Roman" w:cs="Times New Roman"/>
          <w:sz w:val="24"/>
          <w:szCs w:val="24"/>
        </w:rPr>
        <w:t>Ijiri</w:t>
      </w:r>
      <w:proofErr w:type="spellEnd"/>
      <w:r w:rsidRPr="006C089E">
        <w:rPr>
          <w:rFonts w:ascii="Times New Roman" w:eastAsia="Times New Roman" w:hAnsi="Times New Roman" w:cs="Times New Roman"/>
          <w:sz w:val="24"/>
          <w:szCs w:val="24"/>
        </w:rPr>
        <w:t xml:space="preserve"> is an advocate of historical costing with adjustment for the change in the purchasing power of the monetary unit (general price-level adjustment).</w:t>
      </w:r>
      <w:hyperlink r:id="rId40" w:anchor="s9781506300108.i3797" w:history="1">
        <w:r w:rsidRPr="006C089E">
          <w:rPr>
            <w:rFonts w:ascii="Times New Roman" w:eastAsia="Times New Roman" w:hAnsi="Times New Roman" w:cs="Times New Roman"/>
            <w:color w:val="0000FF"/>
            <w:sz w:val="24"/>
            <w:szCs w:val="24"/>
            <w:u w:val="single"/>
            <w:vertAlign w:val="superscript"/>
          </w:rPr>
          <w:t>33</w:t>
        </w:r>
      </w:hyperlink>
      <w:r w:rsidRPr="006C089E">
        <w:rPr>
          <w:rFonts w:ascii="Times New Roman" w:eastAsia="Times New Roman" w:hAnsi="Times New Roman" w:cs="Times New Roman"/>
          <w:sz w:val="24"/>
          <w:szCs w:val="24"/>
        </w:rPr>
        <w:t> </w:t>
      </w:r>
      <w:proofErr w:type="spellStart"/>
      <w:r w:rsidRPr="006C089E">
        <w:rPr>
          <w:rFonts w:ascii="Times New Roman" w:eastAsia="Times New Roman" w:hAnsi="Times New Roman" w:cs="Times New Roman"/>
          <w:sz w:val="24"/>
          <w:szCs w:val="24"/>
        </w:rPr>
        <w:t>Mattessich</w:t>
      </w:r>
      <w:proofErr w:type="spellEnd"/>
      <w:r w:rsidRPr="006C089E">
        <w:rPr>
          <w:rFonts w:ascii="Times New Roman" w:eastAsia="Times New Roman" w:hAnsi="Times New Roman" w:cs="Times New Roman"/>
          <w:sz w:val="24"/>
          <w:szCs w:val="24"/>
        </w:rPr>
        <w:t xml:space="preserve"> has long been an advocate of rigorous axiomatic methods for determining a general theory of accounting that could then be used for determining specific information needs of users.</w:t>
      </w:r>
      <w:hyperlink r:id="rId41" w:anchor="s9781506300108.i3799" w:history="1">
        <w:r w:rsidRPr="006C089E">
          <w:rPr>
            <w:rFonts w:ascii="Times New Roman" w:eastAsia="Times New Roman" w:hAnsi="Times New Roman" w:cs="Times New Roman"/>
            <w:color w:val="0000FF"/>
            <w:sz w:val="24"/>
            <w:szCs w:val="24"/>
            <w:u w:val="single"/>
            <w:vertAlign w:val="superscript"/>
          </w:rPr>
          <w:t>34</w:t>
        </w:r>
      </w:hyperlink>
      <w:r w:rsidRPr="006C089E">
        <w:rPr>
          <w:rFonts w:ascii="Times New Roman" w:eastAsia="Times New Roman" w:hAnsi="Times New Roman" w:cs="Times New Roman"/>
          <w:sz w:val="24"/>
          <w:szCs w:val="24"/>
        </w:rPr>
        <w:t xml:space="preserve"> Finally, </w:t>
      </w:r>
      <w:proofErr w:type="spellStart"/>
      <w:r w:rsidRPr="006C089E">
        <w:rPr>
          <w:rFonts w:ascii="Times New Roman" w:eastAsia="Times New Roman" w:hAnsi="Times New Roman" w:cs="Times New Roman"/>
          <w:sz w:val="24"/>
          <w:szCs w:val="24"/>
        </w:rPr>
        <w:t>Staubus</w:t>
      </w:r>
      <w:proofErr w:type="spellEnd"/>
      <w:r w:rsidRPr="006C089E">
        <w:rPr>
          <w:rFonts w:ascii="Times New Roman" w:eastAsia="Times New Roman" w:hAnsi="Times New Roman" w:cs="Times New Roman"/>
          <w:sz w:val="24"/>
          <w:szCs w:val="24"/>
        </w:rPr>
        <w:t xml:space="preserve"> has been an advocate of accounting measurements that simulate discounted cash flows as closely as possible to facilitate decision making by investors.</w:t>
      </w:r>
      <w:hyperlink r:id="rId42" w:anchor="s9781506300108.i3801" w:history="1">
        <w:r w:rsidRPr="006C089E">
          <w:rPr>
            <w:rFonts w:ascii="Times New Roman" w:eastAsia="Times New Roman" w:hAnsi="Times New Roman" w:cs="Times New Roman"/>
            <w:color w:val="0000FF"/>
            <w:sz w:val="24"/>
            <w:szCs w:val="24"/>
            <w:u w:val="single"/>
            <w:vertAlign w:val="superscript"/>
          </w:rPr>
          <w:t>35</w:t>
        </w:r>
      </w:hyperlink>
    </w:p>
    <w:p w14:paraId="20312E4B"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The normative nature of the decision-model approach has led some advocates of newer theoretical approaches to declare that the decision-model approach is nonscientific. However, </w:t>
      </w:r>
      <w:proofErr w:type="spellStart"/>
      <w:r w:rsidRPr="006C089E">
        <w:rPr>
          <w:rFonts w:ascii="Times New Roman" w:eastAsia="Times New Roman" w:hAnsi="Times New Roman" w:cs="Times New Roman"/>
          <w:sz w:val="24"/>
          <w:szCs w:val="24"/>
        </w:rPr>
        <w:t>Mattessich</w:t>
      </w:r>
      <w:proofErr w:type="spellEnd"/>
      <w:r w:rsidRPr="006C089E">
        <w:rPr>
          <w:rFonts w:ascii="Times New Roman" w:eastAsia="Times New Roman" w:hAnsi="Times New Roman" w:cs="Times New Roman"/>
          <w:sz w:val="24"/>
          <w:szCs w:val="24"/>
        </w:rPr>
        <w:t xml:space="preserve"> has very clearly demonstrated that value-laden assumptions are a necessary aspect of goal-oriented (means-ends) activities, such as the administrative sciences (which include accounting).</w:t>
      </w:r>
      <w:hyperlink r:id="rId43" w:anchor="s9781506300108.i3803" w:history="1">
        <w:r w:rsidRPr="006C089E">
          <w:rPr>
            <w:rFonts w:ascii="Times New Roman" w:eastAsia="Times New Roman" w:hAnsi="Times New Roman" w:cs="Times New Roman"/>
            <w:color w:val="0000FF"/>
            <w:sz w:val="24"/>
            <w:szCs w:val="24"/>
            <w:u w:val="single"/>
            <w:vertAlign w:val="superscript"/>
          </w:rPr>
          <w:t>36</w:t>
        </w:r>
      </w:hyperlink>
      <w:r w:rsidRPr="006C089E">
        <w:rPr>
          <w:rFonts w:ascii="Times New Roman" w:eastAsia="Times New Roman" w:hAnsi="Times New Roman" w:cs="Times New Roman"/>
          <w:sz w:val="24"/>
          <w:szCs w:val="24"/>
        </w:rPr>
        <w:t> In other words, scientific method and the resulting approaches just discussed can be utilized in activities that have desired ends, as opposed to, for example, the natural sciences, which attempt to describe the natural world. Although not as dominating a force as it used to be prior to the rise of empirical research in accounting, the decision-model approach is still an important focus of research in accounting.</w:t>
      </w:r>
    </w:p>
    <w:p w14:paraId="19C9C9B7"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The two major decisions embraced by the </w:t>
      </w:r>
      <w:r w:rsidRPr="006C089E">
        <w:rPr>
          <w:rFonts w:ascii="Times New Roman" w:eastAsia="Times New Roman" w:hAnsi="Times New Roman" w:cs="Times New Roman"/>
          <w:i/>
          <w:iCs/>
          <w:sz w:val="24"/>
          <w:szCs w:val="24"/>
        </w:rPr>
        <w:t>decision-model</w:t>
      </w:r>
      <w:r w:rsidRPr="006C089E">
        <w:rPr>
          <w:rFonts w:ascii="Times New Roman" w:eastAsia="Times New Roman" w:hAnsi="Times New Roman" w:cs="Times New Roman"/>
          <w:sz w:val="24"/>
          <w:szCs w:val="24"/>
        </w:rPr>
        <w:t> approach are (1) enabling the user to better predict future cash flows and (2) analyzing the efficiency and effectiveness of management (stewardship). Perhaps the decision-model school, of all the research orientations, accords most closely with the standard-setting function itself, including the derivation of conceptual frameworks. The decision-model approach and standard-setting function are clearly normative types of operations. Decision-model issues and concerns closely parallel those of standard setters, although the latter must also cope with the politics of the regulatory process.</w:t>
      </w:r>
    </w:p>
    <w:p w14:paraId="6D4C3C7B" w14:textId="77777777" w:rsidR="006C089E" w:rsidRPr="006C089E" w:rsidRDefault="006C089E" w:rsidP="006C089E">
      <w:pPr>
        <w:spacing w:before="240" w:after="0" w:line="240" w:lineRule="auto"/>
        <w:outlineLvl w:val="1"/>
        <w:rPr>
          <w:rFonts w:ascii="Times New Roman" w:eastAsia="Times New Roman" w:hAnsi="Times New Roman" w:cs="Times New Roman"/>
          <w:b/>
          <w:bCs/>
          <w:sz w:val="34"/>
          <w:szCs w:val="34"/>
        </w:rPr>
      </w:pPr>
      <w:r w:rsidRPr="006C089E">
        <w:rPr>
          <w:rFonts w:ascii="Times New Roman" w:eastAsia="Times New Roman" w:hAnsi="Times New Roman" w:cs="Times New Roman"/>
          <w:b/>
          <w:bCs/>
          <w:sz w:val="34"/>
          <w:szCs w:val="34"/>
        </w:rPr>
        <w:t>Capital Markets Research</w:t>
      </w:r>
    </w:p>
    <w:p w14:paraId="20B93412"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A significant amount of empirical (inductive) research has shown that prices of publicly traded securities react rapidly and in an unbiased manner to new information, although this finding has recently come under challenge. Whether immediate or gradual, over time, market prices </w:t>
      </w:r>
      <w:r w:rsidRPr="006C089E">
        <w:rPr>
          <w:rFonts w:ascii="Times New Roman" w:eastAsia="Times New Roman" w:hAnsi="Times New Roman" w:cs="Times New Roman"/>
          <w:sz w:val="24"/>
          <w:szCs w:val="24"/>
        </w:rPr>
        <w:lastRenderedPageBreak/>
        <w:t>eventually reflect all publicly available information. This proposition, which stems principally from the discipline of finance, is known as the </w:t>
      </w:r>
      <w:r w:rsidRPr="006C089E">
        <w:rPr>
          <w:rFonts w:ascii="Times New Roman" w:eastAsia="Times New Roman" w:hAnsi="Times New Roman" w:cs="Times New Roman"/>
          <w:i/>
          <w:iCs/>
          <w:sz w:val="24"/>
          <w:szCs w:val="24"/>
        </w:rPr>
        <w:t>efficient-markets hypothesis</w:t>
      </w:r>
      <w:r w:rsidRPr="006C089E">
        <w:rPr>
          <w:rFonts w:ascii="Times New Roman" w:eastAsia="Times New Roman" w:hAnsi="Times New Roman" w:cs="Times New Roman"/>
          <w:sz w:val="24"/>
          <w:szCs w:val="24"/>
        </w:rPr>
        <w:t> (EMH). In addition, return on a security is a function of risk: volatility of the security ' s return relative to the volatility of the entire securities market. This insight has led to a very significant increase in emphasis on diversifying investment portfolios rather than attempting to “beat” the market on an individual security basis. The EMH has some potentially significant implications for accounting (criticisms of the EMH are discussed in </w:t>
      </w:r>
      <w:hyperlink r:id="rId44" w:history="1">
        <w:r w:rsidRPr="006C089E">
          <w:rPr>
            <w:rFonts w:ascii="Times New Roman" w:eastAsia="Times New Roman" w:hAnsi="Times New Roman" w:cs="Times New Roman"/>
            <w:color w:val="0000FF"/>
            <w:sz w:val="24"/>
            <w:szCs w:val="24"/>
            <w:u w:val="single"/>
          </w:rPr>
          <w:t>Chapter 8</w:t>
        </w:r>
      </w:hyperlink>
      <w:r w:rsidRPr="006C089E">
        <w:rPr>
          <w:rFonts w:ascii="Times New Roman" w:eastAsia="Times New Roman" w:hAnsi="Times New Roman" w:cs="Times New Roman"/>
          <w:sz w:val="24"/>
          <w:szCs w:val="24"/>
        </w:rPr>
        <w:t>). For example, because information is rapidly reflected in security prices, the impetus for increased disclosure with less concern for choice among accounting alternatives has grown stronger.</w:t>
      </w:r>
      <w:hyperlink r:id="rId45" w:anchor="s9781506300108.i3805" w:history="1">
        <w:r w:rsidRPr="006C089E">
          <w:rPr>
            <w:rFonts w:ascii="Times New Roman" w:eastAsia="Times New Roman" w:hAnsi="Times New Roman" w:cs="Times New Roman"/>
            <w:color w:val="0000FF"/>
            <w:sz w:val="24"/>
            <w:szCs w:val="24"/>
            <w:u w:val="single"/>
            <w:vertAlign w:val="superscript"/>
          </w:rPr>
          <w:t>37</w:t>
        </w:r>
      </w:hyperlink>
      <w:r w:rsidRPr="006C089E">
        <w:rPr>
          <w:rFonts w:ascii="Times New Roman" w:eastAsia="Times New Roman" w:hAnsi="Times New Roman" w:cs="Times New Roman"/>
          <w:sz w:val="24"/>
          <w:szCs w:val="24"/>
        </w:rPr>
        <w:t> However, while disclosure is very important, including numbers in the body of the financial statements is preferable to footnote disclosure. Since the EMH states that the return of a security is based on its risk, other research has attempted to assess the relationship between accounting-based measures of risk (financial statement ratios, for example) and market-based risk measures.</w:t>
      </w:r>
      <w:hyperlink r:id="rId46" w:anchor="s9781506300108.i3807" w:history="1">
        <w:r w:rsidRPr="006C089E">
          <w:rPr>
            <w:rFonts w:ascii="Times New Roman" w:eastAsia="Times New Roman" w:hAnsi="Times New Roman" w:cs="Times New Roman"/>
            <w:color w:val="0000FF"/>
            <w:sz w:val="24"/>
            <w:szCs w:val="24"/>
            <w:u w:val="single"/>
            <w:vertAlign w:val="superscript"/>
          </w:rPr>
          <w:t>38</w:t>
        </w:r>
      </w:hyperlink>
      <w:r w:rsidRPr="006C089E">
        <w:rPr>
          <w:rFonts w:ascii="Times New Roman" w:eastAsia="Times New Roman" w:hAnsi="Times New Roman" w:cs="Times New Roman"/>
          <w:sz w:val="24"/>
          <w:szCs w:val="24"/>
        </w:rPr>
        <w:t> The effect of accounting policy choices on security prices has also been extensively tested. Other examples of capital markets research are discussed in </w:t>
      </w:r>
      <w:hyperlink r:id="rId47" w:history="1">
        <w:r w:rsidRPr="006C089E">
          <w:rPr>
            <w:rFonts w:ascii="Times New Roman" w:eastAsia="Times New Roman" w:hAnsi="Times New Roman" w:cs="Times New Roman"/>
            <w:color w:val="0000FF"/>
            <w:sz w:val="24"/>
            <w:szCs w:val="24"/>
            <w:u w:val="single"/>
          </w:rPr>
          <w:t>Chapter 8</w:t>
        </w:r>
      </w:hyperlink>
      <w:r w:rsidRPr="006C089E">
        <w:rPr>
          <w:rFonts w:ascii="Times New Roman" w:eastAsia="Times New Roman" w:hAnsi="Times New Roman" w:cs="Times New Roman"/>
          <w:sz w:val="24"/>
          <w:szCs w:val="24"/>
        </w:rPr>
        <w:t>.</w:t>
      </w:r>
    </w:p>
    <w:p w14:paraId="7C0F53E7"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Capital markets research is difficult because researchers must specify the parameters and research design very carefully. Parameters (number and type of firms examined and time period[s] selected) and research design can affect the results of the </w:t>
      </w:r>
      <w:proofErr w:type="gramStart"/>
      <w:r w:rsidRPr="006C089E">
        <w:rPr>
          <w:rFonts w:ascii="Times New Roman" w:eastAsia="Times New Roman" w:hAnsi="Times New Roman" w:cs="Times New Roman"/>
          <w:sz w:val="24"/>
          <w:szCs w:val="24"/>
        </w:rPr>
        <w:t>particular study</w:t>
      </w:r>
      <w:proofErr w:type="gramEnd"/>
      <w:r w:rsidRPr="006C089E">
        <w:rPr>
          <w:rFonts w:ascii="Times New Roman" w:eastAsia="Times New Roman" w:hAnsi="Times New Roman" w:cs="Times New Roman"/>
          <w:sz w:val="24"/>
          <w:szCs w:val="24"/>
        </w:rPr>
        <w:t>. Furthermore, subsequent researchers may interpret the results of previous research too broadly, generalizing what may not be applicable to the population as a whole.</w:t>
      </w:r>
      <w:hyperlink r:id="rId48" w:anchor="s9781506300108.i3809" w:history="1">
        <w:r w:rsidRPr="006C089E">
          <w:rPr>
            <w:rFonts w:ascii="Times New Roman" w:eastAsia="Times New Roman" w:hAnsi="Times New Roman" w:cs="Times New Roman"/>
            <w:color w:val="0000FF"/>
            <w:sz w:val="24"/>
            <w:szCs w:val="24"/>
            <w:u w:val="single"/>
            <w:vertAlign w:val="superscript"/>
          </w:rPr>
          <w:t>39</w:t>
        </w:r>
      </w:hyperlink>
    </w:p>
    <w:p w14:paraId="7312BC0D" w14:textId="77777777" w:rsidR="006C089E" w:rsidRPr="006C089E" w:rsidRDefault="006C089E" w:rsidP="006C089E">
      <w:pPr>
        <w:spacing w:before="240" w:after="0" w:line="240" w:lineRule="auto"/>
        <w:outlineLvl w:val="1"/>
        <w:rPr>
          <w:rFonts w:ascii="Times New Roman" w:eastAsia="Times New Roman" w:hAnsi="Times New Roman" w:cs="Times New Roman"/>
          <w:b/>
          <w:bCs/>
          <w:sz w:val="34"/>
          <w:szCs w:val="34"/>
        </w:rPr>
      </w:pPr>
      <w:r w:rsidRPr="006C089E">
        <w:rPr>
          <w:rFonts w:ascii="Times New Roman" w:eastAsia="Times New Roman" w:hAnsi="Times New Roman" w:cs="Times New Roman"/>
          <w:b/>
          <w:bCs/>
          <w:sz w:val="34"/>
          <w:szCs w:val="34"/>
        </w:rPr>
        <w:t>Behavioral Research</w:t>
      </w:r>
    </w:p>
    <w:p w14:paraId="30C537BC"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Behavioral research is another important area of investigation. The main concern of behavioral research is how users of accounting information make decisions and what information they need. Notice that this approach is descriptive, whereas the decision-model approach is normative. Much of this research uses laboratory subjects, often students, in carefully controlled experimental situations.</w:t>
      </w:r>
    </w:p>
    <w:p w14:paraId="18F7E843"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McIntyre, for example, attempted to find out whether replacement cost information is more useful than historical cost information in evaluating actual annual rate of return.</w:t>
      </w:r>
      <w:hyperlink r:id="rId49" w:anchor="s9781506300108.i3811" w:history="1">
        <w:r w:rsidRPr="006C089E">
          <w:rPr>
            <w:rFonts w:ascii="Times New Roman" w:eastAsia="Times New Roman" w:hAnsi="Times New Roman" w:cs="Times New Roman"/>
            <w:color w:val="0000FF"/>
            <w:sz w:val="24"/>
            <w:szCs w:val="24"/>
            <w:u w:val="single"/>
            <w:vertAlign w:val="superscript"/>
          </w:rPr>
          <w:t>40</w:t>
        </w:r>
      </w:hyperlink>
      <w:r w:rsidRPr="006C089E">
        <w:rPr>
          <w:rFonts w:ascii="Times New Roman" w:eastAsia="Times New Roman" w:hAnsi="Times New Roman" w:cs="Times New Roman"/>
          <w:sz w:val="24"/>
          <w:szCs w:val="24"/>
        </w:rPr>
        <w:t> In other words, this approach seeks to understand what information is selected and how it is processed. Four middle-sized firms in the tire and rubber industry were analyzed over a three-year period. McIntyre ' s subjects were graduate and undergraduate students. Some students received replacement cost financial statements, others received historical cost statements, and still others received both. The subjects were asked to select the firm that would produce the highest actual annual rate of return during the three years. Actual annual rate of return was defined as</w:t>
      </w:r>
    </w:p>
    <w:p w14:paraId="79961852"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(2.1)</w:t>
      </w:r>
    </w:p>
    <w:p w14:paraId="0E2FF4A8" w14:textId="77777777" w:rsidR="006C089E" w:rsidRPr="006C089E" w:rsidRDefault="006C089E" w:rsidP="006C089E">
      <w:pPr>
        <w:spacing w:after="0" w:line="240" w:lineRule="auto"/>
        <w:rPr>
          <w:rFonts w:ascii="Times New Roman" w:eastAsia="Times New Roman" w:hAnsi="Times New Roman" w:cs="Times New Roman"/>
          <w:sz w:val="24"/>
          <w:szCs w:val="24"/>
        </w:rPr>
      </w:pPr>
      <w:r w:rsidRPr="006C089E">
        <w:rPr>
          <w:rFonts w:ascii="MJXc-TeX-main-Rw" w:eastAsia="Times New Roman" w:hAnsi="MJXc-TeX-main-Rw" w:cs="Times New Roman"/>
          <w:sz w:val="24"/>
          <w:szCs w:val="24"/>
          <w:bdr w:val="none" w:sz="0" w:space="0" w:color="auto" w:frame="1"/>
        </w:rPr>
        <w:t>r=1</w:t>
      </w:r>
      <w:r w:rsidRPr="006C089E">
        <w:rPr>
          <w:rFonts w:ascii="MJXc-TeX-math-Iw" w:eastAsia="Times New Roman" w:hAnsi="MJXc-TeX-math-Iw" w:cs="Times New Roman"/>
          <w:sz w:val="24"/>
          <w:szCs w:val="24"/>
          <w:bdr w:val="none" w:sz="0" w:space="0" w:color="auto" w:frame="1"/>
        </w:rPr>
        <w:t>n</w:t>
      </w:r>
      <w:r w:rsidRPr="006C089E">
        <w:rPr>
          <w:rFonts w:ascii="MJXc-TeX-main-Rw" w:eastAsia="Times New Roman" w:hAnsi="MJXc-TeX-main-Rw" w:cs="Times New Roman"/>
          <w:sz w:val="24"/>
          <w:szCs w:val="24"/>
          <w:bdr w:val="none" w:sz="0" w:space="0" w:color="auto" w:frame="1"/>
        </w:rPr>
        <w:t>(</w:t>
      </w:r>
      <w:r w:rsidRPr="006C089E">
        <w:rPr>
          <w:rFonts w:ascii="MJXc-TeX-math-Iw" w:eastAsia="Times New Roman" w:hAnsi="MJXc-TeX-math-Iw" w:cs="Times New Roman"/>
          <w:sz w:val="24"/>
          <w:szCs w:val="24"/>
          <w:bdr w:val="none" w:sz="0" w:space="0" w:color="auto" w:frame="1"/>
        </w:rPr>
        <w:t>ΔM</w:t>
      </w:r>
      <w:r w:rsidRPr="006C089E">
        <w:rPr>
          <w:rFonts w:ascii="MJXc-TeX-main-Rw" w:eastAsia="Times New Roman" w:hAnsi="MJXc-TeX-main-Rw" w:cs="Times New Roman"/>
          <w:sz w:val="24"/>
          <w:szCs w:val="24"/>
          <w:bdr w:val="none" w:sz="0" w:space="0" w:color="auto" w:frame="1"/>
        </w:rPr>
        <w:t>+</w:t>
      </w:r>
      <w:proofErr w:type="gramStart"/>
      <w:r w:rsidRPr="006C089E">
        <w:rPr>
          <w:rFonts w:ascii="MJXc-TeX-math-Iw" w:eastAsia="Times New Roman" w:hAnsi="MJXc-TeX-math-Iw" w:cs="Times New Roman"/>
          <w:sz w:val="24"/>
          <w:szCs w:val="24"/>
          <w:bdr w:val="none" w:sz="0" w:space="0" w:color="auto" w:frame="1"/>
        </w:rPr>
        <w:t>D</w:t>
      </w:r>
      <w:r w:rsidRPr="006C089E">
        <w:rPr>
          <w:rFonts w:ascii="MJXc-TeX-main-Rw" w:eastAsia="Times New Roman" w:hAnsi="MJXc-TeX-main-Rw" w:cs="Times New Roman"/>
          <w:sz w:val="24"/>
          <w:szCs w:val="24"/>
          <w:bdr w:val="none" w:sz="0" w:space="0" w:color="auto" w:frame="1"/>
        </w:rPr>
        <w:t>)</w:t>
      </w:r>
      <w:proofErr w:type="spellStart"/>
      <w:r w:rsidRPr="006C089E">
        <w:rPr>
          <w:rFonts w:ascii="MJXc-TeX-math-Iw" w:eastAsia="Times New Roman" w:hAnsi="MJXc-TeX-math-Iw" w:cs="Times New Roman"/>
          <w:sz w:val="24"/>
          <w:szCs w:val="24"/>
          <w:bdr w:val="none" w:sz="0" w:space="0" w:color="auto" w:frame="1"/>
        </w:rPr>
        <w:t>M</w:t>
      </w:r>
      <w:r w:rsidRPr="006C089E">
        <w:rPr>
          <w:rFonts w:ascii="Times New Roman" w:eastAsia="Times New Roman" w:hAnsi="Times New Roman" w:cs="Times New Roman"/>
          <w:sz w:val="24"/>
          <w:szCs w:val="24"/>
          <w:bdr w:val="none" w:sz="0" w:space="0" w:color="auto" w:frame="1"/>
        </w:rPr>
        <w:t>r</w:t>
      </w:r>
      <w:proofErr w:type="spellEnd"/>
      <w:proofErr w:type="gramEnd"/>
      <w:r w:rsidRPr="006C089E">
        <w:rPr>
          <w:rFonts w:ascii="Times New Roman" w:eastAsia="Times New Roman" w:hAnsi="Times New Roman" w:cs="Times New Roman"/>
          <w:sz w:val="24"/>
          <w:szCs w:val="24"/>
          <w:bdr w:val="none" w:sz="0" w:space="0" w:color="auto" w:frame="1"/>
        </w:rPr>
        <w:t>=1n(ΔM+D)M</w:t>
      </w:r>
    </w:p>
    <w:p w14:paraId="60C9960A"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where</w:t>
      </w:r>
    </w:p>
    <w:p w14:paraId="308DE2A3" w14:textId="77777777" w:rsidR="006C089E" w:rsidRPr="006C089E" w:rsidRDefault="006C089E" w:rsidP="006C08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i/>
          <w:iCs/>
          <w:sz w:val="24"/>
          <w:szCs w:val="24"/>
        </w:rPr>
        <w:t>n</w:t>
      </w:r>
      <w:r w:rsidRPr="006C089E">
        <w:rPr>
          <w:rFonts w:ascii="Times New Roman" w:eastAsia="Times New Roman" w:hAnsi="Times New Roman" w:cs="Times New Roman"/>
          <w:sz w:val="24"/>
          <w:szCs w:val="24"/>
        </w:rPr>
        <w:t> = length of the assumed holding period in years</w:t>
      </w:r>
    </w:p>
    <w:p w14:paraId="4E3C5B5C" w14:textId="77777777" w:rsidR="006C089E" w:rsidRPr="006C089E" w:rsidRDefault="006C089E" w:rsidP="006C08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i/>
          <w:iCs/>
          <w:sz w:val="24"/>
          <w:szCs w:val="24"/>
        </w:rPr>
        <w:t>D</w:t>
      </w:r>
      <w:r w:rsidRPr="006C089E">
        <w:rPr>
          <w:rFonts w:ascii="Times New Roman" w:eastAsia="Times New Roman" w:hAnsi="Times New Roman" w:cs="Times New Roman"/>
          <w:sz w:val="24"/>
          <w:szCs w:val="24"/>
        </w:rPr>
        <w:t> = dividends received during the holding period</w:t>
      </w:r>
    </w:p>
    <w:p w14:paraId="7C89B195" w14:textId="77777777" w:rsidR="006C089E" w:rsidRPr="006C089E" w:rsidRDefault="006C089E" w:rsidP="006C08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i/>
          <w:iCs/>
          <w:sz w:val="24"/>
          <w:szCs w:val="24"/>
        </w:rPr>
        <w:t>M</w:t>
      </w:r>
      <w:r w:rsidRPr="006C089E">
        <w:rPr>
          <w:rFonts w:ascii="Times New Roman" w:eastAsia="Times New Roman" w:hAnsi="Times New Roman" w:cs="Times New Roman"/>
          <w:sz w:val="24"/>
          <w:szCs w:val="24"/>
        </w:rPr>
        <w:t> = market value of the stock at the beginning of the holding period</w:t>
      </w:r>
    </w:p>
    <w:p w14:paraId="496EA72D" w14:textId="77777777" w:rsidR="006C089E" w:rsidRPr="006C089E" w:rsidRDefault="006C089E" w:rsidP="006C08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lastRenderedPageBreak/>
        <w:t>∆</w:t>
      </w:r>
      <w:r w:rsidRPr="006C089E">
        <w:rPr>
          <w:rFonts w:ascii="Times New Roman" w:eastAsia="Times New Roman" w:hAnsi="Times New Roman" w:cs="Times New Roman"/>
          <w:i/>
          <w:iCs/>
          <w:sz w:val="24"/>
          <w:szCs w:val="24"/>
        </w:rPr>
        <w:t>M</w:t>
      </w:r>
      <w:r w:rsidRPr="006C089E">
        <w:rPr>
          <w:rFonts w:ascii="Times New Roman" w:eastAsia="Times New Roman" w:hAnsi="Times New Roman" w:cs="Times New Roman"/>
          <w:sz w:val="24"/>
          <w:szCs w:val="24"/>
        </w:rPr>
        <w:t> = change in the market value of the stock during the holding period</w:t>
      </w:r>
    </w:p>
    <w:p w14:paraId="3510418A"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Although there were considerable qualifications, McIntyre ' s findings failed to show any advantage to users of replacement cost financial statements. But the question of how representative McIntyre ' s student subjects were relative to the broad population of real decision makers is a problem that pervades virtually all behavioral research employing student subjects in laboratory experiments.</w:t>
      </w:r>
    </w:p>
    <w:p w14:paraId="4BAF1CF4"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Behavioral research grew in popularity from approximately the mid-1960s until the mid-1970s, when it declined in popularity, and then regained popularity again in the mid-1990s.</w:t>
      </w:r>
      <w:hyperlink r:id="rId50" w:anchor="s9781506300108.i3813" w:history="1">
        <w:r w:rsidRPr="006C089E">
          <w:rPr>
            <w:rFonts w:ascii="Times New Roman" w:eastAsia="Times New Roman" w:hAnsi="Times New Roman" w:cs="Times New Roman"/>
            <w:color w:val="0000FF"/>
            <w:sz w:val="24"/>
            <w:szCs w:val="24"/>
            <w:u w:val="single"/>
            <w:vertAlign w:val="superscript"/>
          </w:rPr>
          <w:t>41</w:t>
        </w:r>
      </w:hyperlink>
      <w:r w:rsidRPr="006C089E">
        <w:rPr>
          <w:rFonts w:ascii="Times New Roman" w:eastAsia="Times New Roman" w:hAnsi="Times New Roman" w:cs="Times New Roman"/>
          <w:sz w:val="24"/>
          <w:szCs w:val="24"/>
        </w:rPr>
        <w:t xml:space="preserve"> The decline in this research in the mid-1970s has been attributed to the growing importance of the EMH, mentioned previously. Under this hypothesis, </w:t>
      </w:r>
      <w:proofErr w:type="gramStart"/>
      <w:r w:rsidRPr="006C089E">
        <w:rPr>
          <w:rFonts w:ascii="Times New Roman" w:eastAsia="Times New Roman" w:hAnsi="Times New Roman" w:cs="Times New Roman"/>
          <w:sz w:val="24"/>
          <w:szCs w:val="24"/>
        </w:rPr>
        <w:t>as long as</w:t>
      </w:r>
      <w:proofErr w:type="gramEnd"/>
      <w:r w:rsidRPr="006C089E">
        <w:rPr>
          <w:rFonts w:ascii="Times New Roman" w:eastAsia="Times New Roman" w:hAnsi="Times New Roman" w:cs="Times New Roman"/>
          <w:sz w:val="24"/>
          <w:szCs w:val="24"/>
        </w:rPr>
        <w:t xml:space="preserve"> an investor is properly diversified, portfolio returns would be commensurate with the risk undertaken and the market could not be beaten. As a result, there was little perceived need for studies of the sort undertaken by McIntyre. However, by the mid-1990s enough questions about the EMH had arisen to result in a resurgence of interest in behavioral research.</w:t>
      </w:r>
    </w:p>
    <w:p w14:paraId="17F6A3F8"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Behavioral research has been divided into two types: behavioral and experimental.</w:t>
      </w:r>
      <w:hyperlink r:id="rId51" w:anchor="s9781506300108.i3815" w:history="1">
        <w:r w:rsidRPr="006C089E">
          <w:rPr>
            <w:rFonts w:ascii="Times New Roman" w:eastAsia="Times New Roman" w:hAnsi="Times New Roman" w:cs="Times New Roman"/>
            <w:color w:val="0000FF"/>
            <w:sz w:val="24"/>
            <w:szCs w:val="24"/>
            <w:u w:val="single"/>
            <w:vertAlign w:val="superscript"/>
          </w:rPr>
          <w:t>42</w:t>
        </w:r>
      </w:hyperlink>
      <w:r w:rsidRPr="006C089E">
        <w:rPr>
          <w:rFonts w:ascii="Times New Roman" w:eastAsia="Times New Roman" w:hAnsi="Times New Roman" w:cs="Times New Roman"/>
          <w:sz w:val="24"/>
          <w:szCs w:val="24"/>
        </w:rPr>
        <w:t xml:space="preserve"> Behavioral research involves individual judgments in a single person setting. Experimental research is interactive, involving more than one person and </w:t>
      </w:r>
      <w:proofErr w:type="gramStart"/>
      <w:r w:rsidRPr="006C089E">
        <w:rPr>
          <w:rFonts w:ascii="Times New Roman" w:eastAsia="Times New Roman" w:hAnsi="Times New Roman" w:cs="Times New Roman"/>
          <w:sz w:val="24"/>
          <w:szCs w:val="24"/>
        </w:rPr>
        <w:t>taking into account</w:t>
      </w:r>
      <w:proofErr w:type="gramEnd"/>
      <w:r w:rsidRPr="006C089E">
        <w:rPr>
          <w:rFonts w:ascii="Times New Roman" w:eastAsia="Times New Roman" w:hAnsi="Times New Roman" w:cs="Times New Roman"/>
          <w:sz w:val="24"/>
          <w:szCs w:val="24"/>
        </w:rPr>
        <w:t xml:space="preserve"> the effect of the decision of one person (or group) on the decisions of other persons (or groups).</w:t>
      </w:r>
    </w:p>
    <w:p w14:paraId="6BFD2713"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Behavioral research in the financial accounting area embraces many issues. These include how managers and auditors prepare accounting and financial information, how users interpret financial statements and information, and the effect of individual decisions on the market.</w:t>
      </w:r>
      <w:hyperlink r:id="rId52" w:anchor="s9781506300108.i3817" w:history="1">
        <w:r w:rsidRPr="006C089E">
          <w:rPr>
            <w:rFonts w:ascii="Times New Roman" w:eastAsia="Times New Roman" w:hAnsi="Times New Roman" w:cs="Times New Roman"/>
            <w:color w:val="0000FF"/>
            <w:sz w:val="24"/>
            <w:szCs w:val="24"/>
            <w:u w:val="single"/>
            <w:vertAlign w:val="superscript"/>
          </w:rPr>
          <w:t>43</w:t>
        </w:r>
      </w:hyperlink>
    </w:p>
    <w:p w14:paraId="33FDF971" w14:textId="69D0F6C4" w:rsidR="006C089E" w:rsidRDefault="006C089E"/>
    <w:p w14:paraId="781E5E38" w14:textId="77777777" w:rsidR="006C089E" w:rsidRDefault="006C089E" w:rsidP="006C089E">
      <w:pPr>
        <w:pStyle w:val="Heading2"/>
        <w:spacing w:before="240" w:beforeAutospacing="0" w:after="0" w:afterAutospacing="0"/>
        <w:rPr>
          <w:sz w:val="34"/>
          <w:szCs w:val="34"/>
        </w:rPr>
      </w:pPr>
      <w:r>
        <w:rPr>
          <w:sz w:val="34"/>
          <w:szCs w:val="34"/>
        </w:rPr>
        <w:t>Agency Theory</w:t>
      </w:r>
    </w:p>
    <w:p w14:paraId="40118A52" w14:textId="77777777" w:rsidR="006C089E" w:rsidRDefault="006C089E" w:rsidP="006C089E">
      <w:pPr>
        <w:pStyle w:val="NormalWeb"/>
        <w:spacing w:before="240" w:beforeAutospacing="0" w:after="0" w:afterAutospacing="0"/>
      </w:pPr>
      <w:r>
        <w:rPr>
          <w:i/>
          <w:iCs/>
        </w:rPr>
        <w:t>Agency theory</w:t>
      </w:r>
      <w:r>
        <w:t> (also called contracting theory) is an extremely important type of accounting research. It arose as a result of the perceived separation of interests in the modern corporation between management and ownership interests that were outside of the corporation and not involved in management decisions. The previously discussed Watts and Zimmerman (1978) study is the first major agency theory work done in accounting. Agency theory studies may be deductive or inductive and are a special example of behavioral research, although the roots of agency theory lie in finance and economics rather than in psychology and sociology. Its underlying assumption, as we have discussed, is that individuals act in their own best self-interest, which may, at times, conflict with the enterprise ' s best interests. Another important assumption of agency theory is that the enterprise is the locus or intersection point for many contractual-type relationships that exist among management, owners, creditors, and government. As a result, agency theory is concerned with the various costs of monitoring and enforcing relations among these various groups.</w:t>
      </w:r>
      <w:hyperlink r:id="rId53" w:anchor="s9781506300108.i3819" w:history="1">
        <w:r>
          <w:rPr>
            <w:rStyle w:val="Hyperlink"/>
            <w:vertAlign w:val="superscript"/>
          </w:rPr>
          <w:t>44</w:t>
        </w:r>
      </w:hyperlink>
    </w:p>
    <w:p w14:paraId="7BF44EEA" w14:textId="77777777" w:rsidR="006C089E" w:rsidRDefault="006C089E" w:rsidP="006C089E">
      <w:pPr>
        <w:pStyle w:val="NormalWeb"/>
        <w:spacing w:before="240" w:beforeAutospacing="0" w:after="0" w:afterAutospacing="0"/>
      </w:pPr>
      <w:r>
        <w:t xml:space="preserve">The audit, for example, can be viewed as an instrument for ensuring that the firm ' s financial statements have been subject to a certain amount of external scrutiny. In addition, the statements themselves ' presuming an unqualified opinion ' are assumed to meet the criterion of being in accordance with generally accepted accounting principles. The audit, therefore, attempts to give </w:t>
      </w:r>
      <w:r>
        <w:lastRenderedPageBreak/>
        <w:t>assurances to outsiders, such as owners and creditors, about the governance of the enterprise by management. Of course, recent events in the corporate world have considerably shaken the public ' s confidence in the audit.</w:t>
      </w:r>
    </w:p>
    <w:p w14:paraId="6684731F" w14:textId="77777777" w:rsidR="006C089E" w:rsidRDefault="006C089E" w:rsidP="006C089E">
      <w:pPr>
        <w:pStyle w:val="NormalWeb"/>
        <w:spacing w:before="240" w:beforeAutospacing="0" w:after="0" w:afterAutospacing="0"/>
      </w:pPr>
      <w:r>
        <w:t>Many agency relationships between parties are defined or governed by accounting numbers. These include bond covenants, management compensation contracts, and firm size. Bond covenants frequently prescribe the maximum level of ratios such as debt-to-equity, violation of which can lead to technical default.</w:t>
      </w:r>
      <w:hyperlink r:id="rId54" w:anchor="s9781506300108.i3821" w:history="1">
        <w:r>
          <w:rPr>
            <w:rStyle w:val="Hyperlink"/>
            <w:vertAlign w:val="superscript"/>
          </w:rPr>
          <w:t>45</w:t>
        </w:r>
      </w:hyperlink>
      <w:r>
        <w:t> The tighter the debt-to-equity constraint, the more likely that management chooses accounting alternatives that increase income. Research shows that lenders tightly set bond covenants so that they serve as a “trip wire” relative to violations occurring.</w:t>
      </w:r>
      <w:hyperlink r:id="rId55" w:anchor="s9781506300108.i3823" w:history="1">
        <w:r>
          <w:rPr>
            <w:rStyle w:val="Hyperlink"/>
            <w:vertAlign w:val="superscript"/>
          </w:rPr>
          <w:t>46</w:t>
        </w:r>
      </w:hyperlink>
      <w:r>
        <w:t> Hence, violations can be relatively frequent, but they are not necessarily signs of financial distress.</w:t>
      </w:r>
      <w:hyperlink r:id="rId56" w:anchor="s9781506300108.i3825" w:history="1">
        <w:r>
          <w:rPr>
            <w:rStyle w:val="Hyperlink"/>
            <w:vertAlign w:val="superscript"/>
          </w:rPr>
          <w:t>47</w:t>
        </w:r>
      </w:hyperlink>
      <w:r>
        <w:t> Nevertheless, some borrowers are willing to pay higher interest rates to acquire more flexibility in the setting of debt covenants.</w:t>
      </w:r>
      <w:hyperlink r:id="rId57" w:anchor="s9781506300108.i3827" w:history="1">
        <w:r>
          <w:rPr>
            <w:rStyle w:val="Hyperlink"/>
            <w:vertAlign w:val="superscript"/>
          </w:rPr>
          <w:t>48</w:t>
        </w:r>
      </w:hyperlink>
    </w:p>
    <w:p w14:paraId="02415FE1" w14:textId="77777777" w:rsidR="006C089E" w:rsidRDefault="006C089E" w:rsidP="006C089E">
      <w:pPr>
        <w:pStyle w:val="NormalWeb"/>
        <w:spacing w:before="240" w:beforeAutospacing="0" w:after="0" w:afterAutospacing="0"/>
      </w:pPr>
      <w:r>
        <w:t xml:space="preserve">In the case of management compensation contracts, management likely attempts to choose methods that increase income </w:t>
      </w:r>
      <w:proofErr w:type="gramStart"/>
      <w:r>
        <w:t>and also</w:t>
      </w:r>
      <w:proofErr w:type="gramEnd"/>
      <w:r>
        <w:t xml:space="preserve"> increase bonuses. Our previous discussion of positive accounting research noted the presumed linkage between very large firm size and governmental interference, which could lead to the choice of income</w:t>
      </w:r>
      <w:r>
        <w:rPr>
          <w:vertAlign w:val="superscript"/>
        </w:rPr>
        <w:t>-</w:t>
      </w:r>
      <w:r>
        <w:t>lowering alternatives. As a result, the choice of accounting methods by firms can be influenced by their effect on agency contracts.</w:t>
      </w:r>
      <w:hyperlink r:id="rId58" w:anchor="s9781506300108.i3829" w:history="1">
        <w:r>
          <w:rPr>
            <w:rStyle w:val="Hyperlink"/>
            <w:vertAlign w:val="superscript"/>
          </w:rPr>
          <w:t>49</w:t>
        </w:r>
      </w:hyperlink>
    </w:p>
    <w:p w14:paraId="2107F8A2" w14:textId="77777777" w:rsidR="006C089E" w:rsidRDefault="006C089E" w:rsidP="006C089E">
      <w:pPr>
        <w:pStyle w:val="NormalWeb"/>
        <w:spacing w:before="240" w:beforeAutospacing="0" w:after="0" w:afterAutospacing="0"/>
      </w:pPr>
      <w:r>
        <w:t>One hypothesis of agency theory is that management attempts to maximize its own welfare by minimizing the various agency costs arising from monitoring and contracting. Notice that this is not quite the same as saying that management attempts to maximize the value of the firm. Although management tries to maximize its compensation, it must do so within the framework of increasing net income, return on investment, or similar accounting measures while also attempting to positively change the firm ' s security price. Hence, minimizing contracting costs refers to </w:t>
      </w:r>
      <w:r>
        <w:rPr>
          <w:i/>
          <w:iCs/>
        </w:rPr>
        <w:t>not</w:t>
      </w:r>
      <w:r>
        <w:t> (1) negatively disrupting the delicate relationship between accounting-based measures of performance and (2) receiving qualified opinions on audits.</w:t>
      </w:r>
    </w:p>
    <w:p w14:paraId="49DA13AE" w14:textId="77777777" w:rsidR="006C089E" w:rsidRDefault="006C089E" w:rsidP="006C089E">
      <w:pPr>
        <w:pStyle w:val="NormalWeb"/>
        <w:spacing w:before="240" w:beforeAutospacing="0" w:after="0" w:afterAutospacing="0"/>
      </w:pPr>
      <w:r>
        <w:t>While the main management drive is usually toward improving performance, in order to take advantage of its own compensation, management can also attempt to choose accounting rules that maximize income immediately rather than over time, such as in the case of the investment tax credit. Stock options provide an important example of management interests not being aligned with stockholder interests. In these and similar cases, management actions are not always in the best interests of stockholders. This is sometimes called opportunistic behavior or moral hazard. The audit, as an example of minimizing agency costs, is an example of efficient contracting. Difficulties exist relative to correlating accounting method choice with efficient contracting purposes; hence examples in the accounting literature of this dilemma are infrequently encountered and often misspecified.</w:t>
      </w:r>
      <w:hyperlink r:id="rId59" w:anchor="s9781506300108.i3831" w:history="1">
        <w:r>
          <w:rPr>
            <w:rStyle w:val="Hyperlink"/>
            <w:vertAlign w:val="superscript"/>
          </w:rPr>
          <w:t>50</w:t>
        </w:r>
      </w:hyperlink>
    </w:p>
    <w:p w14:paraId="4E31C6DD" w14:textId="77777777" w:rsidR="006C089E" w:rsidRDefault="006C089E" w:rsidP="006C089E">
      <w:pPr>
        <w:pStyle w:val="NormalWeb"/>
        <w:spacing w:before="240" w:beforeAutospacing="0" w:after="0" w:afterAutospacing="0"/>
      </w:pPr>
      <w:r>
        <w:t>Other assumptions about the nature of the firm compete with the agency theory assumption that the firm is the locus or nexus for many contractual types of relationships. Chambers, for example, has described the firm as “a temporary coalition of participants in unstable equilibrium.”</w:t>
      </w:r>
      <w:hyperlink r:id="rId60" w:anchor="s9781506300108.i3833" w:history="1">
        <w:r>
          <w:rPr>
            <w:rStyle w:val="Hyperlink"/>
            <w:vertAlign w:val="superscript"/>
          </w:rPr>
          <w:t>51</w:t>
        </w:r>
      </w:hyperlink>
      <w:r>
        <w:t xml:space="preserve"> Chambers ' s coalition view sees the firm ' even though it is an artificial entity ' playing a stronger role vis-à-vis the various participants than it does under agency theory, where the firm per se has virtually no role. In the coalition view, income as a measurement of the economic performance of the firm and economically viable measures of assets and liabilities are </w:t>
      </w:r>
      <w:r>
        <w:lastRenderedPageBreak/>
        <w:t>important functions of accounting and should be the primary considerations of standard-setting agencies. No such viewpoint exists in agency theory. The point is not that agency theory is either “right” or “wrong”; theories such as agency theory and the coalition view are both partial descriptions of the workings and interrelationships of the firm and its constituent participants.</w:t>
      </w:r>
    </w:p>
    <w:p w14:paraId="66A6DF27" w14:textId="77777777" w:rsidR="006C089E" w:rsidRDefault="006C089E" w:rsidP="006C089E">
      <w:pPr>
        <w:pStyle w:val="NormalWeb"/>
        <w:spacing w:before="240" w:beforeAutospacing="0" w:after="0" w:afterAutospacing="0"/>
      </w:pPr>
      <w:r>
        <w:t>Other questions have been raised about agency theory. For example, since self-interest is such a paramount assumption of agency theory, individuals exposed to it may act in accordance with the assumption making it, in effect, a self-fulfilling prophecy.</w:t>
      </w:r>
      <w:hyperlink r:id="rId61" w:anchor="s9781506300108.i3835" w:history="1">
        <w:r>
          <w:rPr>
            <w:rStyle w:val="Hyperlink"/>
            <w:vertAlign w:val="superscript"/>
          </w:rPr>
          <w:t>52</w:t>
        </w:r>
      </w:hyperlink>
      <w:r>
        <w:t> Also, the simplicity of the assumptions underlying agency theory research ignores the complexity of business and social relationships.</w:t>
      </w:r>
      <w:hyperlink r:id="rId62" w:anchor="s9781506300108.i3837" w:history="1">
        <w:r>
          <w:rPr>
            <w:rStyle w:val="Hyperlink"/>
            <w:vertAlign w:val="superscript"/>
          </w:rPr>
          <w:t>53</w:t>
        </w:r>
      </w:hyperlink>
    </w:p>
    <w:p w14:paraId="2ACBD753" w14:textId="77777777" w:rsidR="006C089E" w:rsidRDefault="006C089E" w:rsidP="006C089E">
      <w:pPr>
        <w:pStyle w:val="NormalWeb"/>
        <w:spacing w:before="240" w:beforeAutospacing="0" w:after="0" w:afterAutospacing="0"/>
      </w:pPr>
      <w:r>
        <w:t>Various competing theories and viewpoints can bring important insights to accountants, auditors, users, and standard setters. No individual approach is deemed superior to all others, for important contributions can come from any and all sources. Furthermore, while important adherents of agency theory research insist that the results are positive and descriptive and cannot be used for policy purposes (clearly a value judgment), there is no reason why standard setters should not use the results of agency theory research if the results are deemed to be valid and useful.</w:t>
      </w:r>
      <w:hyperlink r:id="rId63" w:anchor="s9781506300108.i3839" w:history="1">
        <w:r>
          <w:rPr>
            <w:rStyle w:val="Hyperlink"/>
            <w:vertAlign w:val="superscript"/>
          </w:rPr>
          <w:t>54</w:t>
        </w:r>
      </w:hyperlink>
    </w:p>
    <w:p w14:paraId="6910642A" w14:textId="77777777" w:rsidR="006C089E" w:rsidRDefault="006C089E" w:rsidP="006C089E">
      <w:pPr>
        <w:pStyle w:val="Heading2"/>
        <w:spacing w:before="240" w:beforeAutospacing="0" w:after="0" w:afterAutospacing="0"/>
        <w:rPr>
          <w:sz w:val="34"/>
          <w:szCs w:val="34"/>
        </w:rPr>
      </w:pPr>
      <w:r>
        <w:rPr>
          <w:sz w:val="34"/>
          <w:szCs w:val="34"/>
        </w:rPr>
        <w:t>Information Economics</w:t>
      </w:r>
    </w:p>
    <w:p w14:paraId="73A7EC2B" w14:textId="77777777" w:rsidR="006C089E" w:rsidRDefault="006C089E" w:rsidP="006C089E">
      <w:pPr>
        <w:pStyle w:val="NormalWeb"/>
        <w:spacing w:before="240" w:beforeAutospacing="0" w:after="0" w:afterAutospacing="0"/>
      </w:pPr>
      <w:r>
        <w:t>Accountants are becoming increasingly conscious of the cost (and benefits) of producing accounting information. This has led to a relatively new field of inquiry for accounting researchers: </w:t>
      </w:r>
      <w:r>
        <w:rPr>
          <w:i/>
          <w:iCs/>
        </w:rPr>
        <w:t>information economics.</w:t>
      </w:r>
      <w:r>
        <w:t xml:space="preserve"> Information economics research is usually analytical/deductive in nature. </w:t>
      </w:r>
      <w:proofErr w:type="gramStart"/>
      <w:r>
        <w:t>With the exception of</w:t>
      </w:r>
      <w:proofErr w:type="gramEnd"/>
      <w:r>
        <w:t xml:space="preserve"> cash flow accounting, alternatives to the historical cost accounting model, prima facie, appear to impose additional information production costs on firms. Whether the benefits of alternative information sets or larger information sets are worth their costs is an important question. The nature of this problem has been succinctly stated by Beaver and </w:t>
      </w:r>
      <w:proofErr w:type="spellStart"/>
      <w:r>
        <w:t>Demski</w:t>
      </w:r>
      <w:proofErr w:type="spellEnd"/>
      <w:r>
        <w:t>:</w:t>
      </w:r>
    </w:p>
    <w:p w14:paraId="0C1C19F9" w14:textId="77777777" w:rsidR="006C089E" w:rsidRDefault="006C089E" w:rsidP="006C089E">
      <w:pPr>
        <w:pStyle w:val="NormalWeb"/>
        <w:spacing w:before="240" w:beforeAutospacing="0" w:after="0" w:afterAutospacing="0"/>
      </w:pPr>
      <w:r>
        <w:t>The crux of the argument on behalf of accrual accounting rests on the premise that (1) reported income under accrual accounting conveys more information than a less ambitious cash flow-oriented accounting system, (2) accrual accounting is the most efficient way to convey this additional information, and, as a corollary, (3) the “value” of such additional information system exceeds its “cost.”</w:t>
      </w:r>
      <w:hyperlink r:id="rId64" w:anchor="s9781506300108.i3841" w:history="1">
        <w:r>
          <w:rPr>
            <w:rStyle w:val="Hyperlink"/>
            <w:vertAlign w:val="superscript"/>
          </w:rPr>
          <w:t>55</w:t>
        </w:r>
      </w:hyperlink>
    </w:p>
    <w:p w14:paraId="2D1D0BBF" w14:textId="77777777" w:rsidR="006C089E" w:rsidRDefault="006C089E" w:rsidP="006C089E">
      <w:pPr>
        <w:pStyle w:val="NormalWeb"/>
        <w:spacing w:before="240" w:beforeAutospacing="0" w:after="0" w:afterAutospacing="0"/>
      </w:pPr>
      <w:r>
        <w:t>Information economics has recently included agency theory assumptions and situations in its analysis. This is because risk sharing between principal and agent is closely connected with the issue of whether both sides have full information or whether information asymmetry exists in which one party (usually the agent) has more information than the other party.</w:t>
      </w:r>
      <w:hyperlink r:id="rId65" w:anchor="s9781506300108.i3843" w:history="1">
        <w:r>
          <w:rPr>
            <w:rStyle w:val="Hyperlink"/>
            <w:vertAlign w:val="superscript"/>
          </w:rPr>
          <w:t>56</w:t>
        </w:r>
      </w:hyperlink>
      <w:r>
        <w:t> The objective of the information theory analysis is to determine how optimal contractual arrangement incentives and risk sharing can be negotiated.</w:t>
      </w:r>
      <w:hyperlink r:id="rId66" w:anchor="s9781506300108.i3845" w:history="1">
        <w:r>
          <w:rPr>
            <w:rStyle w:val="Hyperlink"/>
            <w:vertAlign w:val="superscript"/>
          </w:rPr>
          <w:t>57</w:t>
        </w:r>
      </w:hyperlink>
      <w:r>
        <w:t> This research also shows the importance of the stewardship function of accounting (evaluating the performance of management is extremely important relative to determining managerial incentives and rewards).</w:t>
      </w:r>
    </w:p>
    <w:p w14:paraId="4E587142" w14:textId="77777777" w:rsidR="006C089E" w:rsidRDefault="006C089E" w:rsidP="006C089E">
      <w:pPr>
        <w:pStyle w:val="Heading2"/>
        <w:spacing w:before="240" w:beforeAutospacing="0" w:after="0" w:afterAutospacing="0"/>
        <w:rPr>
          <w:sz w:val="34"/>
          <w:szCs w:val="34"/>
        </w:rPr>
      </w:pPr>
      <w:r>
        <w:rPr>
          <w:sz w:val="34"/>
          <w:szCs w:val="34"/>
        </w:rPr>
        <w:t>Critical Accounting</w:t>
      </w:r>
    </w:p>
    <w:p w14:paraId="31FDC6C5" w14:textId="77777777" w:rsidR="006C089E" w:rsidRDefault="006C089E" w:rsidP="006C089E">
      <w:pPr>
        <w:pStyle w:val="NormalWeb"/>
        <w:spacing w:before="240" w:beforeAutospacing="0" w:after="0" w:afterAutospacing="0"/>
      </w:pPr>
      <w:r>
        <w:rPr>
          <w:i/>
          <w:iCs/>
        </w:rPr>
        <w:lastRenderedPageBreak/>
        <w:t>Critical accounting</w:t>
      </w:r>
      <w:r>
        <w:t> is that branch of accounting theory that views accounting as having a pivotal role in adjudicating conflicts between the corporation and social constituencies such as labor, consumers, and the general public.</w:t>
      </w:r>
      <w:hyperlink r:id="rId67" w:anchor="s9781506300108.i3847" w:history="1">
        <w:r>
          <w:rPr>
            <w:rStyle w:val="Hyperlink"/>
            <w:vertAlign w:val="superscript"/>
          </w:rPr>
          <w:t>58</w:t>
        </w:r>
      </w:hyperlink>
      <w:r>
        <w:t> It is thus directly concerned with the active social role of accountants. Critical accounting coalesced from an amalgamation of two other areas of accounting that developed in the 1960s: public interest accounting and social accounting.</w:t>
      </w:r>
      <w:hyperlink r:id="rId68" w:anchor="s9781506300108.i3849" w:history="1">
        <w:r>
          <w:rPr>
            <w:rStyle w:val="Hyperlink"/>
            <w:vertAlign w:val="superscript"/>
          </w:rPr>
          <w:t>59</w:t>
        </w:r>
      </w:hyperlink>
    </w:p>
    <w:p w14:paraId="6FBF4C94" w14:textId="77777777" w:rsidR="006C089E" w:rsidRDefault="006C089E" w:rsidP="006C089E">
      <w:pPr>
        <w:pStyle w:val="NormalWeb"/>
        <w:spacing w:before="240" w:beforeAutospacing="0" w:after="0" w:afterAutospacing="0"/>
      </w:pPr>
      <w:r>
        <w:rPr>
          <w:i/>
          <w:iCs/>
        </w:rPr>
        <w:t>Public interest accounting</w:t>
      </w:r>
      <w:r>
        <w:t> is concerned with doing pro bono (free) work of a tax and financial advisory nature for individuals, groups, and small businesses which are unable to pay for these services. </w:t>
      </w:r>
      <w:r>
        <w:rPr>
          <w:i/>
          <w:iCs/>
        </w:rPr>
        <w:t>Social accounting</w:t>
      </w:r>
      <w:r>
        <w:t> pertains to attempts to measure and bring onto corporate income statements the costs of externalities, such as pollution, which is a detriment to society but costless to the instigating party (at least until the enactment of air and water pollution standards). Critical accounting is much broader than public interest accounting and social accounting (which it still embraces). Furthermore, it is the intention of critical accounting researchers to move the field from the fringes occupied by public interest accounting and social accounting into the mainstream of accounting research (and action) interests by adopting “a conflict-based perspective.”</w:t>
      </w:r>
      <w:hyperlink r:id="rId69" w:anchor="s9781506300108.i3851" w:history="1">
        <w:r>
          <w:rPr>
            <w:rStyle w:val="Hyperlink"/>
            <w:vertAlign w:val="superscript"/>
          </w:rPr>
          <w:t>60</w:t>
        </w:r>
      </w:hyperlink>
    </w:p>
    <w:p w14:paraId="18E9C1E1" w14:textId="77777777" w:rsidR="006C089E" w:rsidRDefault="006C089E" w:rsidP="006C089E">
      <w:pPr>
        <w:pStyle w:val="NormalWeb"/>
        <w:spacing w:before="240" w:beforeAutospacing="0" w:after="0" w:afterAutospacing="0"/>
      </w:pPr>
      <w:r>
        <w:t xml:space="preserve">Critical accounting differs in one major respect from </w:t>
      </w:r>
      <w:proofErr w:type="gramStart"/>
      <w:r>
        <w:t>all of</w:t>
      </w:r>
      <w:proofErr w:type="gramEnd"/>
      <w:r>
        <w:t xml:space="preserve"> the other research areas previously discussed: The other research directions presume a sharp separation between the researcher and his or her field of investigation. For example, positive accounting researchers and behaviorists believe that they are simply reporting on the behavior of subjects that they are examining. Even admittedly normative researchers, such as those in the decision-model school, see a reality that is independent from them. Thus, their work is involved with finding the most useful way to report on the operations and wealth of business and other entities. Critical accounting researchers, however, believe that in viewing and investigating reality, they also help to shape that reality. For example, Chua has stated:</w:t>
      </w:r>
    </w:p>
    <w:p w14:paraId="5ABF8ECE" w14:textId="77777777" w:rsidR="006C089E" w:rsidRDefault="006C089E" w:rsidP="006C089E">
      <w:pPr>
        <w:pStyle w:val="NormalWeb"/>
        <w:spacing w:before="240" w:beforeAutospacing="0" w:after="0" w:afterAutospacing="0"/>
      </w:pPr>
      <w:r>
        <w:t>Given this mutually interactive coupling between knowledge and the human, physical world, the production of knowledge is circumscribed by man-made rules or beliefs which define the domains of knowledge, empirical phenomena, and the relationship between the two</w:t>
      </w:r>
      <w:proofErr w:type="gramStart"/>
      <w:r>
        <w:t>. . . .</w:t>
      </w:r>
      <w:proofErr w:type="gramEnd"/>
      <w:r>
        <w:t xml:space="preserve"> Epistemological [the study of how to determine knowledge] assumptions decide what is to count as acceptable truth by specifying the criteria and process of assessing truth claims.</w:t>
      </w:r>
      <w:hyperlink r:id="rId70" w:anchor="s9781506300108.i3853" w:history="1">
        <w:r>
          <w:rPr>
            <w:rStyle w:val="Hyperlink"/>
            <w:vertAlign w:val="superscript"/>
          </w:rPr>
          <w:t>61</w:t>
        </w:r>
      </w:hyperlink>
    </w:p>
    <w:p w14:paraId="01D66C47" w14:textId="77777777" w:rsidR="006C089E" w:rsidRDefault="006C089E" w:rsidP="006C089E">
      <w:pPr>
        <w:pStyle w:val="NormalWeb"/>
        <w:spacing w:before="240" w:beforeAutospacing="0" w:after="0" w:afterAutospacing="0"/>
      </w:pPr>
      <w:r>
        <w:t>Tinker presents an interesting example from astronomy to illustrate the problem perceived by critical accountants.</w:t>
      </w:r>
      <w:hyperlink r:id="rId71" w:anchor="s9781506300108.i3855" w:history="1">
        <w:r>
          <w:rPr>
            <w:rStyle w:val="Hyperlink"/>
            <w:vertAlign w:val="superscript"/>
          </w:rPr>
          <w:t>62</w:t>
        </w:r>
      </w:hyperlink>
      <w:r>
        <w:t xml:space="preserve"> He discusses the planet Uranus. </w:t>
      </w:r>
      <w:proofErr w:type="gramStart"/>
      <w:r>
        <w:t>All of</w:t>
      </w:r>
      <w:proofErr w:type="gramEnd"/>
      <w:r>
        <w:t xml:space="preserve"> the other research schools say that the planet is an entity that is independent of us. Critical accountants say that we are interpreting reality even by our naming the planet “Uranus.” Moreover, our attempts to scientifically describe Uranus are circumscribed by what our instruments can tell us, which is always subject to later refinement and reinterpretation. Venus ' another example ' has an extremely hot surface and is often described as being “unfriendly” and “hostile” even though it is an inanimate object.</w:t>
      </w:r>
      <w:hyperlink r:id="rId72" w:anchor="s9781506300108.i3857" w:history="1">
        <w:r>
          <w:rPr>
            <w:rStyle w:val="Hyperlink"/>
            <w:vertAlign w:val="superscript"/>
          </w:rPr>
          <w:t>63</w:t>
        </w:r>
      </w:hyperlink>
      <w:r>
        <w:t> Chua has neatly described this predicament:</w:t>
      </w:r>
    </w:p>
    <w:p w14:paraId="1A048170" w14:textId="77777777" w:rsidR="006C089E" w:rsidRDefault="006C089E" w:rsidP="006C089E">
      <w:pPr>
        <w:pStyle w:val="NormalWeb"/>
        <w:spacing w:before="240" w:beforeAutospacing="0" w:after="0" w:afterAutospacing="0"/>
      </w:pPr>
      <w:r>
        <w:t>Critical philosophers accept that the standards by which a scientific explanation is judged adequate are temporal context-bound notions. Truth is very much in the process of being hammered out and is grounded in social and historical practices. There are no theory-independent facts that can conclusively prove or disprove a theory.</w:t>
      </w:r>
      <w:hyperlink r:id="rId73" w:anchor="s9781506300108.i3859" w:history="1">
        <w:r>
          <w:rPr>
            <w:rStyle w:val="Hyperlink"/>
            <w:vertAlign w:val="superscript"/>
          </w:rPr>
          <w:t>64</w:t>
        </w:r>
      </w:hyperlink>
    </w:p>
    <w:p w14:paraId="39E66E85" w14:textId="77777777" w:rsidR="006C089E" w:rsidRDefault="006C089E" w:rsidP="006C089E">
      <w:pPr>
        <w:pStyle w:val="NormalWeb"/>
        <w:spacing w:before="240" w:beforeAutospacing="0" w:after="0" w:afterAutospacing="0"/>
      </w:pPr>
      <w:r>
        <w:lastRenderedPageBreak/>
        <w:t>Furthermore, when we go beyond mere measurements ' which are tentative, possibly incorrect, and subject to the limitations of our measuring instruments and our underlying theories ' our word descriptions take over, which encase the very reality that we are attempting to describe.</w:t>
      </w:r>
    </w:p>
    <w:p w14:paraId="582AC413" w14:textId="77777777" w:rsidR="006C089E" w:rsidRDefault="006C089E" w:rsidP="006C089E">
      <w:pPr>
        <w:pStyle w:val="NormalWeb"/>
        <w:spacing w:before="240" w:beforeAutospacing="0" w:after="0" w:afterAutospacing="0"/>
      </w:pPr>
      <w:r>
        <w:t>It is because we interpret our own reality and cannot stay neutral that critical accountants believe that accounting should more strongly emphasize the attempt to solve broad societal problems. As might be suspected, some of the strongest attacks by critical accountants are aimed at agency theory and the contention of the value-free nature of this type of research. In critical accounting research, there is less emphasis on mathematical and statistical models and more on historical explanation.</w:t>
      </w:r>
      <w:hyperlink r:id="rId74" w:anchor="s9781506300108.i3861" w:history="1">
        <w:r>
          <w:rPr>
            <w:rStyle w:val="Hyperlink"/>
            <w:vertAlign w:val="superscript"/>
          </w:rPr>
          <w:t>65</w:t>
        </w:r>
      </w:hyperlink>
    </w:p>
    <w:p w14:paraId="7BB0EBFC" w14:textId="77777777" w:rsidR="006C089E" w:rsidRDefault="006C089E" w:rsidP="006C089E">
      <w:pPr>
        <w:pStyle w:val="NormalWeb"/>
        <w:spacing w:before="240" w:beforeAutospacing="0" w:after="0" w:afterAutospacing="0"/>
      </w:pPr>
      <w:r>
        <w:t xml:space="preserve">These are some of the main directions of current accounting research. Some may be more promising than others, but we believe that all approaches </w:t>
      </w:r>
      <w:proofErr w:type="gramStart"/>
      <w:r>
        <w:t>are capable of contributing</w:t>
      </w:r>
      <w:proofErr w:type="gramEnd"/>
      <w:r>
        <w:t xml:space="preserve"> to our knowledge and providing important insights to the policy process. Sterling (1979b) and May and </w:t>
      </w:r>
      <w:proofErr w:type="spellStart"/>
      <w:r>
        <w:t>Sundem</w:t>
      </w:r>
      <w:proofErr w:type="spellEnd"/>
      <w:r>
        <w:t xml:space="preserve"> (1976) also express a similar view.</w:t>
      </w:r>
      <w:hyperlink r:id="rId75" w:anchor="s9781506300108.i3863" w:history="1">
        <w:r>
          <w:rPr>
            <w:rStyle w:val="Hyperlink"/>
            <w:vertAlign w:val="superscript"/>
          </w:rPr>
          <w:t>66</w:t>
        </w:r>
      </w:hyperlink>
      <w:r>
        <w:t> Many of these approaches are discussed throughout this text.</w:t>
      </w:r>
    </w:p>
    <w:p w14:paraId="4D5A0FA4" w14:textId="77777777" w:rsidR="006C089E" w:rsidRDefault="006C089E" w:rsidP="006C089E">
      <w:pPr>
        <w:pStyle w:val="Heading1"/>
        <w:spacing w:before="240" w:beforeAutospacing="0" w:after="0" w:afterAutospacing="0"/>
        <w:rPr>
          <w:sz w:val="36"/>
          <w:szCs w:val="36"/>
        </w:rPr>
      </w:pPr>
      <w:r>
        <w:rPr>
          <w:sz w:val="36"/>
          <w:szCs w:val="36"/>
        </w:rPr>
        <w:t>A Scientific Revolution in Accounting?</w:t>
      </w:r>
    </w:p>
    <w:p w14:paraId="1316F267" w14:textId="77777777" w:rsidR="006C089E" w:rsidRDefault="006C089E" w:rsidP="006C089E">
      <w:pPr>
        <w:pStyle w:val="NormalWeb"/>
        <w:spacing w:before="240" w:beforeAutospacing="0" w:after="0" w:afterAutospacing="0"/>
      </w:pPr>
      <w:r>
        <w:t>As should be obvious from this discussion of the many viewpoints in accounting research, it is a field that is presently in a considerable state of flux. Some have predicted a scientific revolution in accounting because of dissatisfaction with the existing paradigm.</w:t>
      </w:r>
      <w:hyperlink r:id="rId76" w:anchor="s9781506300108.i3865" w:history="1">
        <w:r>
          <w:rPr>
            <w:rStyle w:val="Hyperlink"/>
            <w:vertAlign w:val="superscript"/>
          </w:rPr>
          <w:t>67</w:t>
        </w:r>
      </w:hyperlink>
      <w:r>
        <w:t> A </w:t>
      </w:r>
      <w:r>
        <w:rPr>
          <w:i/>
          <w:iCs/>
        </w:rPr>
        <w:t>paradigm</w:t>
      </w:r>
      <w:r>
        <w:t> is a shared problem-solving view among members of a science or discipline. In accounting, the shared paradigm has been historical costing, which is based on the concepts of realization and matching and other important tenets, such as the accounting principles of conservatism, the going concern, the accounting entity, and the time period.</w:t>
      </w:r>
      <w:hyperlink r:id="rId77" w:anchor="s9781506300108.i3867" w:history="1">
        <w:r>
          <w:rPr>
            <w:rStyle w:val="Hyperlink"/>
            <w:vertAlign w:val="superscript"/>
          </w:rPr>
          <w:t>68</w:t>
        </w:r>
      </w:hyperlink>
      <w:r>
        <w:t> The inability of historical costing in the wake of severe inflation to cope with the problems of financial reporting during the 1970s caused a great deal of dissatisfaction. The effects of inflation at that time, combined with the concurrent development of empirical research in accounting as well as other research perspectives, led some to envision the possible development of a new paradigm in accounting.</w:t>
      </w:r>
    </w:p>
    <w:p w14:paraId="725E1B81" w14:textId="77777777" w:rsidR="006C089E" w:rsidRDefault="006C089E" w:rsidP="006C089E">
      <w:pPr>
        <w:pStyle w:val="NormalWeb"/>
        <w:spacing w:before="240" w:beforeAutospacing="0" w:after="0" w:afterAutospacing="0"/>
      </w:pPr>
      <w:r>
        <w:t xml:space="preserve">We are now at a point at which there appears to be an evolutionary movement toward a wider use of current values (now called fair value). Whether this constitutes a “scientific revolution” </w:t>
      </w:r>
      <w:proofErr w:type="gramStart"/>
      <w:r>
        <w:t>at this time</w:t>
      </w:r>
      <w:proofErr w:type="gramEnd"/>
      <w:r>
        <w:t xml:space="preserve"> is debatable. However, if the paradigm is applied just to accounting research as opposed to accounting practice, then a better case can be made that we recently experienced a paradigm shift in accounting because of the rise</w:t>
      </w:r>
      <w:proofErr w:type="gramStart"/>
      <w:r>
        <w:t>, in particular, of</w:t>
      </w:r>
      <w:proofErr w:type="gramEnd"/>
      <w:r>
        <w:t xml:space="preserve"> capital market and agency theory research. These are now the predominant forms of research in accounting.</w:t>
      </w:r>
      <w:hyperlink r:id="rId78" w:anchor="s9781506300108.i3869" w:history="1">
        <w:r>
          <w:rPr>
            <w:rStyle w:val="Hyperlink"/>
            <w:vertAlign w:val="superscript"/>
          </w:rPr>
          <w:t>69</w:t>
        </w:r>
      </w:hyperlink>
      <w:r>
        <w:t> The many new research approaches and outlooks in accounting make this an exciting time to be involved with financial accounting. Only time will tell whether a new valuation model or other type of paradigm emerges as our new orthodoxy.</w:t>
      </w:r>
    </w:p>
    <w:p w14:paraId="1F5205A6" w14:textId="77777777" w:rsidR="006C089E" w:rsidRDefault="006C089E" w:rsidP="006C089E">
      <w:pPr>
        <w:pStyle w:val="Heading1"/>
        <w:spacing w:before="240" w:beforeAutospacing="0" w:after="0" w:afterAutospacing="0"/>
        <w:rPr>
          <w:color w:val="000000"/>
          <w:sz w:val="36"/>
          <w:szCs w:val="36"/>
        </w:rPr>
      </w:pPr>
      <w:r>
        <w:rPr>
          <w:color w:val="000000"/>
          <w:sz w:val="36"/>
          <w:szCs w:val="36"/>
        </w:rPr>
        <w:t>Summary</w:t>
      </w:r>
    </w:p>
    <w:p w14:paraId="28AF666E" w14:textId="77777777" w:rsidR="006C089E" w:rsidRDefault="006C089E" w:rsidP="006C089E">
      <w:pPr>
        <w:pStyle w:val="NormalWeb"/>
        <w:spacing w:before="240" w:beforeAutospacing="0" w:after="0" w:afterAutospacing="0"/>
        <w:rPr>
          <w:color w:val="000000"/>
        </w:rPr>
      </w:pPr>
      <w:r>
        <w:rPr>
          <w:color w:val="000000"/>
        </w:rPr>
        <w:t xml:space="preserve">One important avenue for the development of accounting theory is through research. In reasoning from premises (assumptions) to conclusions, results are determined either deductively (logically reasoning from premises to conclusions) or inductively (by gathering data to support </w:t>
      </w:r>
      <w:r>
        <w:rPr>
          <w:color w:val="000000"/>
        </w:rPr>
        <w:lastRenderedPageBreak/>
        <w:t xml:space="preserve">or refute the hypothesis). Deductive reasoning is generally normative, and, ideally, inductive reasoning is purely descriptive (although findings derived from inductive reasoning cannot be totally value free or neutral). Deductive and inductive reasoning are, however, complementary. Clearly, accounting policy making is normative since it is concerned with prescribing choices among accounting methods and requiring </w:t>
      </w:r>
      <w:proofErr w:type="gramStart"/>
      <w:r>
        <w:rPr>
          <w:color w:val="000000"/>
        </w:rPr>
        <w:t>particular disclosures</w:t>
      </w:r>
      <w:proofErr w:type="gramEnd"/>
      <w:r>
        <w:rPr>
          <w:color w:val="000000"/>
        </w:rPr>
        <w:t>.</w:t>
      </w:r>
    </w:p>
    <w:p w14:paraId="6BF95B7B" w14:textId="77777777" w:rsidR="006C089E" w:rsidRDefault="006C089E" w:rsidP="006C089E">
      <w:pPr>
        <w:pStyle w:val="NormalWeb"/>
        <w:spacing w:before="240" w:beforeAutospacing="0" w:after="0" w:afterAutospacing="0"/>
        <w:rPr>
          <w:color w:val="000000"/>
        </w:rPr>
      </w:pPr>
      <w:r>
        <w:rPr>
          <w:color w:val="000000"/>
        </w:rPr>
        <w:t xml:space="preserve">Whether accounting is an </w:t>
      </w:r>
      <w:proofErr w:type="gramStart"/>
      <w:r>
        <w:rPr>
          <w:color w:val="000000"/>
        </w:rPr>
        <w:t>art</w:t>
      </w:r>
      <w:proofErr w:type="gramEnd"/>
      <w:r>
        <w:rPr>
          <w:color w:val="000000"/>
        </w:rPr>
        <w:t xml:space="preserve"> or a science is a recurring question. In the realm of art, practitioners rather freely use individual interpretations when plying their craft. Science is more rigorous; practitioners should have a relatively high amount of consensus when measuring the same phenomena. There can, however, be strong disagreements in science. Accounting appears to be closer to an art than a science today because there is much free choice in selecting accounting methods, and rigorous measurement of phenomena by accountants is presently not a part of our discipline.</w:t>
      </w:r>
    </w:p>
    <w:p w14:paraId="71B92164" w14:textId="77777777" w:rsidR="006C089E" w:rsidRPr="006C089E" w:rsidRDefault="006C089E" w:rsidP="006C089E">
      <w:pPr>
        <w:spacing w:before="240" w:after="0"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Accounting research has taken many directions, including evaluations using the decision-model approach, capital market research, behavioral research, agency theory, information economics, and critical accounting perspectives. Our viewpoint is that all these approaches are potentially valuable in terms of adding to our knowledge about accounting and its environment, although the decision-model approach is the closest to the standard-setting function.</w:t>
      </w:r>
    </w:p>
    <w:p w14:paraId="6642FACD" w14:textId="77777777" w:rsidR="006C089E" w:rsidRPr="006C089E" w:rsidRDefault="006C089E" w:rsidP="006C089E">
      <w:pPr>
        <w:spacing w:before="240" w:after="0" w:line="240" w:lineRule="auto"/>
        <w:outlineLvl w:val="0"/>
        <w:rPr>
          <w:rFonts w:ascii="Times New Roman" w:eastAsia="Times New Roman" w:hAnsi="Times New Roman" w:cs="Times New Roman"/>
          <w:b/>
          <w:bCs/>
          <w:kern w:val="36"/>
          <w:sz w:val="36"/>
          <w:szCs w:val="36"/>
        </w:rPr>
      </w:pPr>
      <w:r w:rsidRPr="006C089E">
        <w:rPr>
          <w:rFonts w:ascii="Times New Roman" w:eastAsia="Times New Roman" w:hAnsi="Times New Roman" w:cs="Times New Roman"/>
          <w:b/>
          <w:bCs/>
          <w:kern w:val="36"/>
          <w:sz w:val="36"/>
          <w:szCs w:val="36"/>
        </w:rPr>
        <w:t>Questions</w:t>
      </w:r>
    </w:p>
    <w:p w14:paraId="329C85E1"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Do you think that the work of a policy-making organization such as the FASB or the SEC is normative (value-judgment oriented) or positive (oriented toward value-free rules)? Discuss.</w:t>
      </w:r>
    </w:p>
    <w:p w14:paraId="39C8E8CC"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An individual appraising accounting education had the following premises (assumptions):</w:t>
      </w:r>
    </w:p>
    <w:p w14:paraId="6B97AEB3"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Accounting professors used to do more consulting with accounting practitioners than they do today.</w:t>
      </w:r>
    </w:p>
    <w:p w14:paraId="35160C01" w14:textId="77777777" w:rsidR="006C089E" w:rsidRPr="006C089E" w:rsidRDefault="006C089E" w:rsidP="006C089E">
      <w:pPr>
        <w:numPr>
          <w:ilvl w:val="1"/>
          <w:numId w:val="4"/>
        </w:numPr>
        <w:spacing w:before="240" w:after="0" w:line="240" w:lineRule="auto"/>
        <w:ind w:firstLine="0"/>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Accounting professors have become more interested in research that is abstract and not necessarily practical.</w:t>
      </w:r>
    </w:p>
    <w:p w14:paraId="29D74952" w14:textId="77777777" w:rsidR="006C089E" w:rsidRPr="006C089E" w:rsidRDefault="006C089E" w:rsidP="006C089E">
      <w:pPr>
        <w:spacing w:before="240" w:after="0" w:line="240" w:lineRule="auto"/>
        <w:ind w:left="1440"/>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He, therefore, concluded that accounting students are not as well prepared to enter the accounting profession as they used to be. Which type of reasoning was the individual using? What is your assessment of his conclusion?</w:t>
      </w:r>
    </w:p>
    <w:p w14:paraId="4324A927"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In 1936, the United States was still suffering from the Great Depression. During the presidential election campaign, an extensive survey of voter attitudes was undertaken to find out whether the public preferred the incumbent, Franklin Delano Roosevelt, or the challenger, Alf Landon. The sample was gathered randomly from telephone book listings throughout the country. A preference was found for Alf Landon; however, Roosevelt won reelection by a huge landslide. What type of research was being conducted? Why do you think it failed to make an accurate prediction?</w:t>
      </w:r>
    </w:p>
    <w:p w14:paraId="707A1941"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In accounting, deductive approaches are generally normative. Why do you think this is the case?</w:t>
      </w:r>
    </w:p>
    <w:p w14:paraId="1727B585"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lastRenderedPageBreak/>
        <w:t>A frequent argument is that inductive reasoning is value free because it simply investigates empirical evidence. Yet some charge that it is not value free. What do you think is the basis for this charge?</w:t>
      </w:r>
    </w:p>
    <w:p w14:paraId="696B8029"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Several years ago, an author stated that corporate income could be scientifically ascertained, but any type of adjustment for inflation would be pure folly because measurements tend to become very subjective. Do you agree with the author ' s appraisal? Comment in detail.</w:t>
      </w:r>
    </w:p>
    <w:p w14:paraId="5C20A4B9"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Of the four disciplines in the following list, which do you think qualify as sciences and which do not? State your reasons very carefully.</w:t>
      </w:r>
    </w:p>
    <w:p w14:paraId="6B5C2266"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Law</w:t>
      </w:r>
    </w:p>
    <w:p w14:paraId="48A0910D"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Medicine</w:t>
      </w:r>
    </w:p>
    <w:p w14:paraId="52E96C13"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Cosmetology</w:t>
      </w:r>
    </w:p>
    <w:p w14:paraId="5FE3F243"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Accountancy</w:t>
      </w:r>
    </w:p>
    <w:p w14:paraId="46D1DA9E"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Several occupations within two of the </w:t>
      </w:r>
      <w:proofErr w:type="gramStart"/>
      <w:r w:rsidRPr="006C089E">
        <w:rPr>
          <w:rFonts w:ascii="Times New Roman" w:eastAsia="Times New Roman" w:hAnsi="Times New Roman" w:cs="Times New Roman"/>
          <w:sz w:val="24"/>
          <w:szCs w:val="24"/>
        </w:rPr>
        <w:t>aforementioned disciplines</w:t>
      </w:r>
      <w:proofErr w:type="gramEnd"/>
      <w:r w:rsidRPr="006C089E">
        <w:rPr>
          <w:rFonts w:ascii="Times New Roman" w:eastAsia="Times New Roman" w:hAnsi="Times New Roman" w:cs="Times New Roman"/>
          <w:sz w:val="24"/>
          <w:szCs w:val="24"/>
        </w:rPr>
        <w:t xml:space="preserve"> are listed here. Which do you think come closest to being scientific?</w:t>
      </w:r>
    </w:p>
    <w:p w14:paraId="7BBCB6E9"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Accounting researcher</w:t>
      </w:r>
    </w:p>
    <w:p w14:paraId="11C20ED8"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Chief accountant for an industrial firm</w:t>
      </w:r>
    </w:p>
    <w:p w14:paraId="5CC0343B"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Medical researcher</w:t>
      </w:r>
    </w:p>
    <w:p w14:paraId="54A0AB60" w14:textId="77777777" w:rsidR="006C089E" w:rsidRPr="006C089E" w:rsidRDefault="006C089E" w:rsidP="006C089E">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Doctor (general practitioner)</w:t>
      </w:r>
    </w:p>
    <w:p w14:paraId="32DB69F4"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What are some of the pitfalls of empirical research?</w:t>
      </w:r>
    </w:p>
    <w:p w14:paraId="267C7495"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If Watts and Zimmerman are correct that managers of very large firms oppose accounting standards that raise their income and favor those that lower it, what policy implications does this have for a standard-setting organization such as the FASB?</w:t>
      </w:r>
    </w:p>
    <w:p w14:paraId="0F9141C9"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What is the major difference in orientation between positive accounting theory and more overtly normative theories, such as the valuation approaches discussed in </w:t>
      </w:r>
      <w:hyperlink r:id="rId79" w:history="1">
        <w:r w:rsidRPr="006C089E">
          <w:rPr>
            <w:rFonts w:ascii="Times New Roman" w:eastAsia="Times New Roman" w:hAnsi="Times New Roman" w:cs="Times New Roman"/>
            <w:color w:val="0000FF"/>
            <w:sz w:val="24"/>
            <w:szCs w:val="24"/>
            <w:u w:val="single"/>
          </w:rPr>
          <w:t>Chapter 1</w:t>
        </w:r>
      </w:hyperlink>
      <w:r w:rsidRPr="006C089E">
        <w:rPr>
          <w:rFonts w:ascii="Times New Roman" w:eastAsia="Times New Roman" w:hAnsi="Times New Roman" w:cs="Times New Roman"/>
          <w:sz w:val="24"/>
          <w:szCs w:val="24"/>
        </w:rPr>
        <w:t>?</w:t>
      </w:r>
    </w:p>
    <w:p w14:paraId="529584B3"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For a discipline to become a science, the results of experiments and research must be exact. Do you agree with this statement? Discuss.</w:t>
      </w:r>
    </w:p>
    <w:p w14:paraId="4D10A835"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Why, in practical terms, is it impossible to separate deductive and inductive approaches to theoretical reasoning?</w:t>
      </w:r>
    </w:p>
    <w:p w14:paraId="1311E9A6"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What is the relationship among scientific method, accounting research, and accounting policy making?</w:t>
      </w:r>
    </w:p>
    <w:p w14:paraId="313D4A77"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What are the two principal underlying assumptions of agency theory (positive accounting research)? Critique their role in constructing a theory of accounting.</w:t>
      </w:r>
    </w:p>
    <w:p w14:paraId="175E83CF"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The “uncertainty principle” of the famous physicist Werner Heisenberg states that physical phenomena cannot be precisely measured because the very act of </w:t>
      </w:r>
      <w:bookmarkStart w:id="0" w:name="_GoBack"/>
      <w:bookmarkEnd w:id="0"/>
      <w:r w:rsidRPr="006C089E">
        <w:rPr>
          <w:rFonts w:ascii="Times New Roman" w:eastAsia="Times New Roman" w:hAnsi="Times New Roman" w:cs="Times New Roman"/>
          <w:sz w:val="24"/>
          <w:szCs w:val="24"/>
        </w:rPr>
        <w:t>measuring affects the phenomenon being measured. Which of the directions of accounting research discussed in the chapter does Heisenberg ' s uncertainty principle relate to most closely?</w:t>
      </w:r>
    </w:p>
    <w:p w14:paraId="1FF3681B"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Why do you think the term “deprival value” was used to name a specific type of replacement cost?</w:t>
      </w:r>
    </w:p>
    <w:p w14:paraId="57ED875C"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 xml:space="preserve">Of the decision-model advocates discussed in the chapter (Chambers, Sterling, </w:t>
      </w:r>
      <w:proofErr w:type="spellStart"/>
      <w:r w:rsidRPr="006C089E">
        <w:rPr>
          <w:rFonts w:ascii="Times New Roman" w:eastAsia="Times New Roman" w:hAnsi="Times New Roman" w:cs="Times New Roman"/>
          <w:sz w:val="24"/>
          <w:szCs w:val="24"/>
        </w:rPr>
        <w:t>Solomons</w:t>
      </w:r>
      <w:proofErr w:type="spellEnd"/>
      <w:r w:rsidRPr="006C089E">
        <w:rPr>
          <w:rFonts w:ascii="Times New Roman" w:eastAsia="Times New Roman" w:hAnsi="Times New Roman" w:cs="Times New Roman"/>
          <w:sz w:val="24"/>
          <w:szCs w:val="24"/>
        </w:rPr>
        <w:t xml:space="preserve">, Bell, and </w:t>
      </w:r>
      <w:proofErr w:type="spellStart"/>
      <w:r w:rsidRPr="006C089E">
        <w:rPr>
          <w:rFonts w:ascii="Times New Roman" w:eastAsia="Times New Roman" w:hAnsi="Times New Roman" w:cs="Times New Roman"/>
          <w:sz w:val="24"/>
          <w:szCs w:val="24"/>
        </w:rPr>
        <w:t>Ijiri</w:t>
      </w:r>
      <w:proofErr w:type="spellEnd"/>
      <w:r w:rsidRPr="006C089E">
        <w:rPr>
          <w:rFonts w:ascii="Times New Roman" w:eastAsia="Times New Roman" w:hAnsi="Times New Roman" w:cs="Times New Roman"/>
          <w:sz w:val="24"/>
          <w:szCs w:val="24"/>
        </w:rPr>
        <w:t>), which one stands out as most unlike the others?</w:t>
      </w:r>
    </w:p>
    <w:p w14:paraId="4E6EAD10"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What is the difference between “accounting theory” and “accounting research”?</w:t>
      </w:r>
    </w:p>
    <w:p w14:paraId="06F21416"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Why does the decision-model orientation to research accord more closely with the standard-setting function than any of the other research directions?</w:t>
      </w:r>
    </w:p>
    <w:p w14:paraId="0FF9383B"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If there has been a paradigm shift (scientific revolution) in accounting research, but not in accounting practice, what may this signify?</w:t>
      </w:r>
    </w:p>
    <w:p w14:paraId="66EEF7AA"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lastRenderedPageBreak/>
        <w:t>In accounting behavioral research, student subjects are frequently used as proxies for real-world decision makers. Does this lead to any potential problems?</w:t>
      </w:r>
    </w:p>
    <w:p w14:paraId="78A0127D" w14:textId="77777777" w:rsidR="006C089E" w:rsidRPr="006C089E" w:rsidRDefault="006C089E" w:rsidP="006C089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C089E">
        <w:rPr>
          <w:rFonts w:ascii="Times New Roman" w:eastAsia="Times New Roman" w:hAnsi="Times New Roman" w:cs="Times New Roman"/>
          <w:sz w:val="24"/>
          <w:szCs w:val="24"/>
        </w:rPr>
        <w:t>Why do you think that ethnographic research (Note #65) is difficult to apply to organizations such as the SEC and FASB?</w:t>
      </w:r>
    </w:p>
    <w:p w14:paraId="34DF975E" w14:textId="77777777" w:rsidR="006C089E" w:rsidRDefault="006C089E" w:rsidP="006C089E">
      <w:pPr>
        <w:pStyle w:val="NormalWeb"/>
        <w:spacing w:before="240" w:beforeAutospacing="0" w:after="0" w:afterAutospacing="0"/>
      </w:pPr>
    </w:p>
    <w:p w14:paraId="1097A894" w14:textId="77777777" w:rsidR="006C089E" w:rsidRDefault="006C089E"/>
    <w:sectPr w:rsidR="006C089E">
      <w:headerReference w:type="even" r:id="rId80"/>
      <w:headerReference w:type="default" r:id="rId81"/>
      <w:footerReference w:type="even" r:id="rId82"/>
      <w:footerReference w:type="default" r:id="rId83"/>
      <w:headerReference w:type="first" r:id="rId84"/>
      <w:footerReference w:type="first" r:id="rId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3124A" w14:textId="77777777" w:rsidR="007F30D4" w:rsidRDefault="007F30D4" w:rsidP="006C089E">
      <w:pPr>
        <w:spacing w:after="0" w:line="240" w:lineRule="auto"/>
      </w:pPr>
      <w:r>
        <w:separator/>
      </w:r>
    </w:p>
  </w:endnote>
  <w:endnote w:type="continuationSeparator" w:id="0">
    <w:p w14:paraId="22329350" w14:textId="77777777" w:rsidR="007F30D4" w:rsidRDefault="007F30D4" w:rsidP="006C0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JXc-TeX-main-Rw">
    <w:altName w:val="Cambria"/>
    <w:panose1 w:val="00000000000000000000"/>
    <w:charset w:val="00"/>
    <w:family w:val="roman"/>
    <w:notTrueType/>
    <w:pitch w:val="default"/>
  </w:font>
  <w:font w:name="MJXc-TeX-math-Iw">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7034C" w14:textId="77777777" w:rsidR="006C089E" w:rsidRDefault="006C08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CB0AD" w14:textId="4BBE4E1E" w:rsidR="006C089E" w:rsidRDefault="006C089E">
    <w:pPr>
      <w:pStyle w:val="Footer"/>
    </w:pPr>
    <w:r>
      <w:rPr>
        <w:noProof/>
      </w:rPr>
      <mc:AlternateContent>
        <mc:Choice Requires="wps">
          <w:drawing>
            <wp:anchor distT="0" distB="0" distL="114300" distR="114300" simplePos="0" relativeHeight="251659264" behindDoc="0" locked="0" layoutInCell="0" allowOverlap="1" wp14:anchorId="5EC7B8DA" wp14:editId="016155D0">
              <wp:simplePos x="0" y="0"/>
              <wp:positionH relativeFrom="page">
                <wp:posOffset>0</wp:posOffset>
              </wp:positionH>
              <wp:positionV relativeFrom="page">
                <wp:posOffset>9601200</wp:posOffset>
              </wp:positionV>
              <wp:extent cx="7772400" cy="266700"/>
              <wp:effectExtent l="0" t="0" r="0" b="0"/>
              <wp:wrapNone/>
              <wp:docPr id="1" name="MSIPCM6f114c59aee2ab3a9db0744a" descr="{&quot;HashCode&quot;:-1913046509,&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9994D0" w14:textId="3CFC96F3" w:rsidR="006C089E" w:rsidRPr="006C089E" w:rsidRDefault="006C089E" w:rsidP="006C089E">
                          <w:pPr>
                            <w:spacing w:after="0"/>
                            <w:rPr>
                              <w:rFonts w:ascii="Calibri" w:hAnsi="Calibri" w:cs="Calibri"/>
                              <w:color w:val="7F7F7F"/>
                              <w:sz w:val="12"/>
                            </w:rPr>
                          </w:pPr>
                          <w:r w:rsidRPr="006C089E">
                            <w:rPr>
                              <w:rFonts w:ascii="Calibri" w:hAnsi="Calibri" w:cs="Calibri"/>
                              <w:color w:val="7F7F7F"/>
                              <w:sz w:val="12"/>
                            </w:rPr>
                            <w:t>Internal Use - Confidential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EC7B8DA" id="_x0000_t202" coordsize="21600,21600" o:spt="202" path="m,l,21600r21600,l21600,xe">
              <v:stroke joinstyle="miter"/>
              <v:path gradientshapeok="t" o:connecttype="rect"/>
            </v:shapetype>
            <v:shape id="MSIPCM6f114c59aee2ab3a9db0744a" o:spid="_x0000_s1026" type="#_x0000_t202" alt="{&quot;HashCode&quot;:-1913046509,&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" o:allowincell="f" filled="f" stroked="f" strokeweight=".5pt">
              <v:fill o:detectmouseclick="t"/>
              <v:textbox inset="20pt,0,,0">
                <w:txbxContent>
                  <w:p w14:paraId="459994D0" w14:textId="3CFC96F3" w:rsidR="006C089E" w:rsidRPr="006C089E" w:rsidRDefault="006C089E" w:rsidP="006C089E">
                    <w:pPr>
                      <w:spacing w:after="0"/>
                      <w:rPr>
                        <w:rFonts w:ascii="Calibri" w:hAnsi="Calibri" w:cs="Calibri"/>
                        <w:color w:val="7F7F7F"/>
                        <w:sz w:val="12"/>
                      </w:rPr>
                    </w:pPr>
                    <w:r w:rsidRPr="006C089E">
                      <w:rPr>
                        <w:rFonts w:ascii="Calibri" w:hAnsi="Calibri" w:cs="Calibri"/>
                        <w:color w:val="7F7F7F"/>
                        <w:sz w:val="12"/>
                      </w:rPr>
                      <w:t>Internal Use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DD139" w14:textId="77777777" w:rsidR="006C089E" w:rsidRDefault="006C0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DE2D0" w14:textId="77777777" w:rsidR="007F30D4" w:rsidRDefault="007F30D4" w:rsidP="006C089E">
      <w:pPr>
        <w:spacing w:after="0" w:line="240" w:lineRule="auto"/>
      </w:pPr>
      <w:r>
        <w:separator/>
      </w:r>
    </w:p>
  </w:footnote>
  <w:footnote w:type="continuationSeparator" w:id="0">
    <w:p w14:paraId="6398C467" w14:textId="77777777" w:rsidR="007F30D4" w:rsidRDefault="007F30D4" w:rsidP="006C0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B377A" w14:textId="77777777" w:rsidR="006C089E" w:rsidRDefault="006C0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A8AF3" w14:textId="77777777" w:rsidR="006C089E" w:rsidRDefault="006C0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B73C" w14:textId="77777777" w:rsidR="006C089E" w:rsidRDefault="006C08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6559E"/>
    <w:multiLevelType w:val="multilevel"/>
    <w:tmpl w:val="B9DC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71596"/>
    <w:multiLevelType w:val="multilevel"/>
    <w:tmpl w:val="9DD6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D02020"/>
    <w:multiLevelType w:val="multilevel"/>
    <w:tmpl w:val="39D2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D23666"/>
    <w:multiLevelType w:val="multilevel"/>
    <w:tmpl w:val="469664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9F"/>
    <w:rsid w:val="00011B9F"/>
    <w:rsid w:val="006C089E"/>
    <w:rsid w:val="007C6C57"/>
    <w:rsid w:val="007F3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99FF3"/>
  <w15:chartTrackingRefBased/>
  <w15:docId w15:val="{469C7E9F-36E8-4D25-8DAE-B79895EF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C08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089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C08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89E"/>
  </w:style>
  <w:style w:type="paragraph" w:styleId="Footer">
    <w:name w:val="footer"/>
    <w:basedOn w:val="Normal"/>
    <w:link w:val="FooterChar"/>
    <w:uiPriority w:val="99"/>
    <w:unhideWhenUsed/>
    <w:rsid w:val="006C0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89E"/>
  </w:style>
  <w:style w:type="character" w:customStyle="1" w:styleId="Heading1Char">
    <w:name w:val="Heading 1 Char"/>
    <w:basedOn w:val="DefaultParagraphFont"/>
    <w:link w:val="Heading1"/>
    <w:uiPriority w:val="9"/>
    <w:rsid w:val="006C089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089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C089E"/>
    <w:rPr>
      <w:rFonts w:ascii="Times New Roman" w:eastAsia="Times New Roman" w:hAnsi="Times New Roman" w:cs="Times New Roman"/>
      <w:b/>
      <w:bCs/>
      <w:sz w:val="27"/>
      <w:szCs w:val="27"/>
    </w:rPr>
  </w:style>
  <w:style w:type="character" w:customStyle="1" w:styleId="label">
    <w:name w:val="label"/>
    <w:basedOn w:val="DefaultParagraphFont"/>
    <w:rsid w:val="006C089E"/>
  </w:style>
  <w:style w:type="paragraph" w:styleId="NormalWeb">
    <w:name w:val="Normal (Web)"/>
    <w:basedOn w:val="Normal"/>
    <w:uiPriority w:val="99"/>
    <w:semiHidden/>
    <w:unhideWhenUsed/>
    <w:rsid w:val="006C08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C089E"/>
    <w:rPr>
      <w:color w:val="0000FF"/>
      <w:u w:val="single"/>
    </w:rPr>
  </w:style>
  <w:style w:type="character" w:customStyle="1" w:styleId="mjx-char">
    <w:name w:val="mjx-char"/>
    <w:basedOn w:val="DefaultParagraphFont"/>
    <w:rsid w:val="006C089E"/>
  </w:style>
  <w:style w:type="character" w:customStyle="1" w:styleId="mjxassistivemathml">
    <w:name w:val="mjx_assistive_mathml"/>
    <w:basedOn w:val="DefaultParagraphFont"/>
    <w:rsid w:val="006C0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68742">
      <w:bodyDiv w:val="1"/>
      <w:marLeft w:val="0"/>
      <w:marRight w:val="0"/>
      <w:marTop w:val="0"/>
      <w:marBottom w:val="0"/>
      <w:divBdr>
        <w:top w:val="none" w:sz="0" w:space="0" w:color="auto"/>
        <w:left w:val="none" w:sz="0" w:space="0" w:color="auto"/>
        <w:bottom w:val="none" w:sz="0" w:space="0" w:color="auto"/>
        <w:right w:val="none" w:sz="0" w:space="0" w:color="auto"/>
      </w:divBdr>
      <w:divsChild>
        <w:div w:id="565998707">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485828545">
      <w:bodyDiv w:val="1"/>
      <w:marLeft w:val="0"/>
      <w:marRight w:val="0"/>
      <w:marTop w:val="0"/>
      <w:marBottom w:val="0"/>
      <w:divBdr>
        <w:top w:val="none" w:sz="0" w:space="0" w:color="auto"/>
        <w:left w:val="none" w:sz="0" w:space="0" w:color="auto"/>
        <w:bottom w:val="none" w:sz="0" w:space="0" w:color="auto"/>
        <w:right w:val="none" w:sz="0" w:space="0" w:color="auto"/>
      </w:divBdr>
    </w:div>
    <w:div w:id="521170162">
      <w:bodyDiv w:val="1"/>
      <w:marLeft w:val="0"/>
      <w:marRight w:val="0"/>
      <w:marTop w:val="0"/>
      <w:marBottom w:val="0"/>
      <w:divBdr>
        <w:top w:val="none" w:sz="0" w:space="0" w:color="auto"/>
        <w:left w:val="none" w:sz="0" w:space="0" w:color="auto"/>
        <w:bottom w:val="none" w:sz="0" w:space="0" w:color="auto"/>
        <w:right w:val="none" w:sz="0" w:space="0" w:color="auto"/>
      </w:divBdr>
    </w:div>
    <w:div w:id="686100634">
      <w:bodyDiv w:val="1"/>
      <w:marLeft w:val="0"/>
      <w:marRight w:val="0"/>
      <w:marTop w:val="0"/>
      <w:marBottom w:val="0"/>
      <w:divBdr>
        <w:top w:val="none" w:sz="0" w:space="0" w:color="auto"/>
        <w:left w:val="none" w:sz="0" w:space="0" w:color="auto"/>
        <w:bottom w:val="none" w:sz="0" w:space="0" w:color="auto"/>
        <w:right w:val="none" w:sz="0" w:space="0" w:color="auto"/>
      </w:divBdr>
      <w:divsChild>
        <w:div w:id="2068599788">
          <w:blockQuote w:val="1"/>
          <w:marLeft w:val="240"/>
          <w:marRight w:val="240"/>
          <w:marTop w:val="480"/>
          <w:marBottom w:val="480"/>
          <w:divBdr>
            <w:top w:val="none" w:sz="0" w:space="0" w:color="auto"/>
            <w:left w:val="none" w:sz="0" w:space="0" w:color="auto"/>
            <w:bottom w:val="none" w:sz="0" w:space="0" w:color="auto"/>
            <w:right w:val="none" w:sz="0" w:space="0" w:color="auto"/>
          </w:divBdr>
        </w:div>
        <w:div w:id="729576454">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921833832">
      <w:bodyDiv w:val="1"/>
      <w:marLeft w:val="0"/>
      <w:marRight w:val="0"/>
      <w:marTop w:val="0"/>
      <w:marBottom w:val="0"/>
      <w:divBdr>
        <w:top w:val="none" w:sz="0" w:space="0" w:color="auto"/>
        <w:left w:val="none" w:sz="0" w:space="0" w:color="auto"/>
        <w:bottom w:val="none" w:sz="0" w:space="0" w:color="auto"/>
        <w:right w:val="none" w:sz="0" w:space="0" w:color="auto"/>
      </w:divBdr>
      <w:divsChild>
        <w:div w:id="1062800472">
          <w:marLeft w:val="0"/>
          <w:marRight w:val="0"/>
          <w:marTop w:val="0"/>
          <w:marBottom w:val="0"/>
          <w:divBdr>
            <w:top w:val="none" w:sz="0" w:space="0" w:color="auto"/>
            <w:left w:val="none" w:sz="0" w:space="0" w:color="auto"/>
            <w:bottom w:val="none" w:sz="0" w:space="0" w:color="auto"/>
            <w:right w:val="none" w:sz="0" w:space="0" w:color="auto"/>
          </w:divBdr>
          <w:divsChild>
            <w:div w:id="5545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95856">
      <w:bodyDiv w:val="1"/>
      <w:marLeft w:val="0"/>
      <w:marRight w:val="0"/>
      <w:marTop w:val="0"/>
      <w:marBottom w:val="0"/>
      <w:divBdr>
        <w:top w:val="none" w:sz="0" w:space="0" w:color="auto"/>
        <w:left w:val="none" w:sz="0" w:space="0" w:color="auto"/>
        <w:bottom w:val="none" w:sz="0" w:space="0" w:color="auto"/>
        <w:right w:val="none" w:sz="0" w:space="0" w:color="auto"/>
      </w:divBdr>
      <w:divsChild>
        <w:div w:id="1480923647">
          <w:blockQuote w:val="1"/>
          <w:marLeft w:val="240"/>
          <w:marRight w:val="240"/>
          <w:marTop w:val="480"/>
          <w:marBottom w:val="480"/>
          <w:divBdr>
            <w:top w:val="none" w:sz="0" w:space="0" w:color="auto"/>
            <w:left w:val="none" w:sz="0" w:space="0" w:color="auto"/>
            <w:bottom w:val="none" w:sz="0" w:space="0" w:color="auto"/>
            <w:right w:val="none" w:sz="0" w:space="0" w:color="auto"/>
          </w:divBdr>
        </w:div>
        <w:div w:id="1663191425">
          <w:blockQuote w:val="1"/>
          <w:marLeft w:val="240"/>
          <w:marRight w:val="240"/>
          <w:marTop w:val="480"/>
          <w:marBottom w:val="480"/>
          <w:divBdr>
            <w:top w:val="none" w:sz="0" w:space="0" w:color="auto"/>
            <w:left w:val="none" w:sz="0" w:space="0" w:color="auto"/>
            <w:bottom w:val="none" w:sz="0" w:space="0" w:color="auto"/>
            <w:right w:val="none" w:sz="0" w:space="0" w:color="auto"/>
          </w:divBdr>
        </w:div>
        <w:div w:id="2118671798">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1862665749">
      <w:bodyDiv w:val="1"/>
      <w:marLeft w:val="0"/>
      <w:marRight w:val="0"/>
      <w:marTop w:val="0"/>
      <w:marBottom w:val="0"/>
      <w:divBdr>
        <w:top w:val="none" w:sz="0" w:space="0" w:color="auto"/>
        <w:left w:val="none" w:sz="0" w:space="0" w:color="auto"/>
        <w:bottom w:val="none" w:sz="0" w:space="0" w:color="auto"/>
        <w:right w:val="none" w:sz="0" w:space="0" w:color="auto"/>
      </w:divBdr>
    </w:div>
    <w:div w:id="187461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1483375038/epub/OEBPS/s9781506300108.i3692.xhtml" TargetMode="External"/><Relationship Id="rId21" Type="http://schemas.openxmlformats.org/officeDocument/2006/relationships/hyperlink" Target="https://jigsaw.vitalsource.com/books/9781483375038/epub/OEBPS/s9781506300108.i3692.xhtml" TargetMode="External"/><Relationship Id="rId42" Type="http://schemas.openxmlformats.org/officeDocument/2006/relationships/hyperlink" Target="https://jigsaw.vitalsource.com/books/9781483375038/epub/OEBPS/s9781506300108.i3692.xhtml" TargetMode="External"/><Relationship Id="rId47" Type="http://schemas.openxmlformats.org/officeDocument/2006/relationships/hyperlink" Target="https://jigsaw.vitalsource.com/books/9781483375038/epub/OEBPS/s9781506300108.i1948.xhtml" TargetMode="External"/><Relationship Id="rId63" Type="http://schemas.openxmlformats.org/officeDocument/2006/relationships/hyperlink" Target="https://jigsaw.vitalsource.com/books/9781483375038/epub/OEBPS/s9781506300108.i3692.xhtml" TargetMode="External"/><Relationship Id="rId68" Type="http://schemas.openxmlformats.org/officeDocument/2006/relationships/hyperlink" Target="https://jigsaw.vitalsource.com/books/9781483375038/epub/OEBPS/s9781506300108.i3692.xhtml" TargetMode="External"/><Relationship Id="rId84" Type="http://schemas.openxmlformats.org/officeDocument/2006/relationships/header" Target="header3.xml"/><Relationship Id="rId16" Type="http://schemas.openxmlformats.org/officeDocument/2006/relationships/hyperlink" Target="https://jigsaw.vitalsource.com/books/9781483375038/epub/OEBPS/s9781506300108.i3692.xhtml" TargetMode="External"/><Relationship Id="rId11" Type="http://schemas.openxmlformats.org/officeDocument/2006/relationships/hyperlink" Target="https://jigsaw.vitalsource.com/books/9781483375038/epub/OEBPS/s9781506300108.i3692.xhtml" TargetMode="External"/><Relationship Id="rId32" Type="http://schemas.openxmlformats.org/officeDocument/2006/relationships/hyperlink" Target="https://jigsaw.vitalsource.com/books/9781483375038/epub/OEBPS/s9781506300108.i3692.xhtml" TargetMode="External"/><Relationship Id="rId37" Type="http://schemas.openxmlformats.org/officeDocument/2006/relationships/hyperlink" Target="https://jigsaw.vitalsource.com/books/9781483375038/epub/OEBPS/s9781506300108.i3692.xhtml" TargetMode="External"/><Relationship Id="rId53" Type="http://schemas.openxmlformats.org/officeDocument/2006/relationships/hyperlink" Target="https://jigsaw.vitalsource.com/books/9781483375038/epub/OEBPS/s9781506300108.i3692.xhtml" TargetMode="External"/><Relationship Id="rId58" Type="http://schemas.openxmlformats.org/officeDocument/2006/relationships/hyperlink" Target="https://jigsaw.vitalsource.com/books/9781483375038/epub/OEBPS/s9781506300108.i3692.xhtml" TargetMode="External"/><Relationship Id="rId74" Type="http://schemas.openxmlformats.org/officeDocument/2006/relationships/hyperlink" Target="https://jigsaw.vitalsource.com/books/9781483375038/epub/OEBPS/s9781506300108.i3692.xhtml" TargetMode="External"/><Relationship Id="rId79" Type="http://schemas.openxmlformats.org/officeDocument/2006/relationships/hyperlink" Target="https://jigsaw.vitalsource.com/books/9781483375038/epub/OEBPS/s9781506300108.i980.xhtml" TargetMode="External"/><Relationship Id="rId5" Type="http://schemas.openxmlformats.org/officeDocument/2006/relationships/footnotes" Target="footnotes.xml"/><Relationship Id="rId19" Type="http://schemas.openxmlformats.org/officeDocument/2006/relationships/hyperlink" Target="https://jigsaw.vitalsource.com/books/9781483375038/epub/OEBPS/s9781506300108.i3692.xhtml" TargetMode="External"/><Relationship Id="rId14" Type="http://schemas.openxmlformats.org/officeDocument/2006/relationships/hyperlink" Target="https://jigsaw.vitalsource.com/books/9781483375038/epub/OEBPS/s9781506300108.i3692.xhtml" TargetMode="External"/><Relationship Id="rId22" Type="http://schemas.openxmlformats.org/officeDocument/2006/relationships/hyperlink" Target="https://jigsaw.vitalsource.com/books/9781483375038/epub/OEBPS/s9781506300108.i3692.xhtml" TargetMode="External"/><Relationship Id="rId27" Type="http://schemas.openxmlformats.org/officeDocument/2006/relationships/hyperlink" Target="https://jigsaw.vitalsource.com/books/9781483375038/epub/OEBPS/s9781506300108.i3692.xhtml" TargetMode="External"/><Relationship Id="rId30" Type="http://schemas.openxmlformats.org/officeDocument/2006/relationships/hyperlink" Target="https://jigsaw.vitalsource.com/books/9781483375038/epub/OEBPS/s9781506300108.i3692.xhtml" TargetMode="External"/><Relationship Id="rId35" Type="http://schemas.openxmlformats.org/officeDocument/2006/relationships/hyperlink" Target="https://jigsaw.vitalsource.com/books/9781483375038/epub/OEBPS/s9781506300108.i3692.xhtml" TargetMode="External"/><Relationship Id="rId43" Type="http://schemas.openxmlformats.org/officeDocument/2006/relationships/hyperlink" Target="https://jigsaw.vitalsource.com/books/9781483375038/epub/OEBPS/s9781506300108.i3692.xhtml" TargetMode="External"/><Relationship Id="rId48" Type="http://schemas.openxmlformats.org/officeDocument/2006/relationships/hyperlink" Target="https://jigsaw.vitalsource.com/books/9781483375038/epub/OEBPS/s9781506300108.i3692.xhtml" TargetMode="External"/><Relationship Id="rId56" Type="http://schemas.openxmlformats.org/officeDocument/2006/relationships/hyperlink" Target="https://jigsaw.vitalsource.com/books/9781483375038/epub/OEBPS/s9781506300108.i3692.xhtml" TargetMode="External"/><Relationship Id="rId64" Type="http://schemas.openxmlformats.org/officeDocument/2006/relationships/hyperlink" Target="https://jigsaw.vitalsource.com/books/9781483375038/epub/OEBPS/s9781506300108.i3692.xhtml" TargetMode="External"/><Relationship Id="rId69" Type="http://schemas.openxmlformats.org/officeDocument/2006/relationships/hyperlink" Target="https://jigsaw.vitalsource.com/books/9781483375038/epub/OEBPS/s9781506300108.i3692.xhtml" TargetMode="External"/><Relationship Id="rId77" Type="http://schemas.openxmlformats.org/officeDocument/2006/relationships/hyperlink" Target="https://jigsaw.vitalsource.com/books/9781483375038/epub/OEBPS/s9781506300108.i3692.xhtml" TargetMode="External"/><Relationship Id="rId8" Type="http://schemas.openxmlformats.org/officeDocument/2006/relationships/hyperlink" Target="https://jigsaw.vitalsource.com/books/9781483375038/epub/OEBPS/s9781506300108.i3692.xhtml" TargetMode="External"/><Relationship Id="rId51" Type="http://schemas.openxmlformats.org/officeDocument/2006/relationships/hyperlink" Target="https://jigsaw.vitalsource.com/books/9781483375038/epub/OEBPS/s9781506300108.i3692.xhtml" TargetMode="External"/><Relationship Id="rId72" Type="http://schemas.openxmlformats.org/officeDocument/2006/relationships/hyperlink" Target="https://jigsaw.vitalsource.com/books/9781483375038/epub/OEBPS/s9781506300108.i3692.xhtml"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https://jigsaw.vitalsource.com/books/9781483375038/epub/OEBPS/s9781506300108.i3692.xhtml" TargetMode="External"/><Relationship Id="rId17" Type="http://schemas.openxmlformats.org/officeDocument/2006/relationships/hyperlink" Target="https://jigsaw.vitalsource.com/books/9781483375038/epub/OEBPS/s9781506300108.i3692.xhtml" TargetMode="External"/><Relationship Id="rId25" Type="http://schemas.openxmlformats.org/officeDocument/2006/relationships/hyperlink" Target="https://jigsaw.vitalsource.com/books/9781483375038/epub/OEBPS/s9781506300108.i3692.xhtml" TargetMode="External"/><Relationship Id="rId33" Type="http://schemas.openxmlformats.org/officeDocument/2006/relationships/hyperlink" Target="https://jigsaw.vitalsource.com/books/9781483375038/epub/OEBPS/s9781506300108.i3692.xhtml" TargetMode="External"/><Relationship Id="rId38" Type="http://schemas.openxmlformats.org/officeDocument/2006/relationships/hyperlink" Target="https://jigsaw.vitalsource.com/books/9781483375038/epub/OEBPS/s9781506300108.i3692.xhtml" TargetMode="External"/><Relationship Id="rId46" Type="http://schemas.openxmlformats.org/officeDocument/2006/relationships/hyperlink" Target="https://jigsaw.vitalsource.com/books/9781483375038/epub/OEBPS/s9781506300108.i3692.xhtml" TargetMode="External"/><Relationship Id="rId59" Type="http://schemas.openxmlformats.org/officeDocument/2006/relationships/hyperlink" Target="https://jigsaw.vitalsource.com/books/9781483375038/epub/OEBPS/s9781506300108.i3692.xhtml" TargetMode="External"/><Relationship Id="rId67" Type="http://schemas.openxmlformats.org/officeDocument/2006/relationships/hyperlink" Target="https://jigsaw.vitalsource.com/books/9781483375038/epub/OEBPS/s9781506300108.i3692.xhtml" TargetMode="External"/><Relationship Id="rId20" Type="http://schemas.openxmlformats.org/officeDocument/2006/relationships/hyperlink" Target="https://jigsaw.vitalsource.com/books/9781483375038/epub/OEBPS/s9781506300108.i3692.xhtml" TargetMode="External"/><Relationship Id="rId41" Type="http://schemas.openxmlformats.org/officeDocument/2006/relationships/hyperlink" Target="https://jigsaw.vitalsource.com/books/9781483375038/epub/OEBPS/s9781506300108.i3692.xhtml" TargetMode="External"/><Relationship Id="rId54" Type="http://schemas.openxmlformats.org/officeDocument/2006/relationships/hyperlink" Target="https://jigsaw.vitalsource.com/books/9781483375038/epub/OEBPS/s9781506300108.i3692.xhtml" TargetMode="External"/><Relationship Id="rId62" Type="http://schemas.openxmlformats.org/officeDocument/2006/relationships/hyperlink" Target="https://jigsaw.vitalsource.com/books/9781483375038/epub/OEBPS/s9781506300108.i3692.xhtml" TargetMode="External"/><Relationship Id="rId70" Type="http://schemas.openxmlformats.org/officeDocument/2006/relationships/hyperlink" Target="https://jigsaw.vitalsource.com/books/9781483375038/epub/OEBPS/s9781506300108.i3692.xhtml" TargetMode="External"/><Relationship Id="rId75" Type="http://schemas.openxmlformats.org/officeDocument/2006/relationships/hyperlink" Target="https://jigsaw.vitalsource.com/books/9781483375038/epub/OEBPS/s9781506300108.i3692.xhtml" TargetMode="External"/><Relationship Id="rId83"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jigsaw.vitalsource.com/books/9781483375038/epub/OEBPS/s9781506300108.i3692.xhtml" TargetMode="External"/><Relationship Id="rId23" Type="http://schemas.openxmlformats.org/officeDocument/2006/relationships/hyperlink" Target="https://jigsaw.vitalsource.com/books/9781483375038/epub/OEBPS/s9781506300108.i3692.xhtml" TargetMode="External"/><Relationship Id="rId28" Type="http://schemas.openxmlformats.org/officeDocument/2006/relationships/hyperlink" Target="https://jigsaw.vitalsource.com/books/9781483375038/epub/OEBPS/s9781506300108.i3692.xhtml" TargetMode="External"/><Relationship Id="rId36" Type="http://schemas.openxmlformats.org/officeDocument/2006/relationships/hyperlink" Target="https://jigsaw.vitalsource.com/books/9781483375038/epub/OEBPS/s9781506300108.i3692.xhtml" TargetMode="External"/><Relationship Id="rId49" Type="http://schemas.openxmlformats.org/officeDocument/2006/relationships/hyperlink" Target="https://jigsaw.vitalsource.com/books/9781483375038/epub/OEBPS/s9781506300108.i3692.xhtml" TargetMode="External"/><Relationship Id="rId57" Type="http://schemas.openxmlformats.org/officeDocument/2006/relationships/hyperlink" Target="https://jigsaw.vitalsource.com/books/9781483375038/epub/OEBPS/s9781506300108.i3692.xhtml" TargetMode="External"/><Relationship Id="rId10" Type="http://schemas.openxmlformats.org/officeDocument/2006/relationships/hyperlink" Target="https://jigsaw.vitalsource.com/books/9781483375038/epub/OEBPS/s9781506300108.i3692.xhtml" TargetMode="External"/><Relationship Id="rId31" Type="http://schemas.openxmlformats.org/officeDocument/2006/relationships/hyperlink" Target="https://jigsaw.vitalsource.com/books/9781483375038/epub/OEBPS/s9781506300108.i3692.xhtml" TargetMode="External"/><Relationship Id="rId44" Type="http://schemas.openxmlformats.org/officeDocument/2006/relationships/hyperlink" Target="https://jigsaw.vitalsource.com/books/9781483375038/epub/OEBPS/s9781506300108.i1948.xhtml" TargetMode="External"/><Relationship Id="rId52" Type="http://schemas.openxmlformats.org/officeDocument/2006/relationships/hyperlink" Target="https://jigsaw.vitalsource.com/books/9781483375038/epub/OEBPS/s9781506300108.i3692.xhtml" TargetMode="External"/><Relationship Id="rId60" Type="http://schemas.openxmlformats.org/officeDocument/2006/relationships/hyperlink" Target="https://jigsaw.vitalsource.com/books/9781483375038/epub/OEBPS/s9781506300108.i3692.xhtml" TargetMode="External"/><Relationship Id="rId65" Type="http://schemas.openxmlformats.org/officeDocument/2006/relationships/hyperlink" Target="https://jigsaw.vitalsource.com/books/9781483375038/epub/OEBPS/s9781506300108.i3692.xhtml" TargetMode="External"/><Relationship Id="rId73" Type="http://schemas.openxmlformats.org/officeDocument/2006/relationships/hyperlink" Target="https://jigsaw.vitalsource.com/books/9781483375038/epub/OEBPS/s9781506300108.i3692.xhtml" TargetMode="External"/><Relationship Id="rId78" Type="http://schemas.openxmlformats.org/officeDocument/2006/relationships/hyperlink" Target="https://jigsaw.vitalsource.com/books/9781483375038/epub/OEBPS/s9781506300108.i3692.xhtml" TargetMode="External"/><Relationship Id="rId81" Type="http://schemas.openxmlformats.org/officeDocument/2006/relationships/header" Target="header2.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jigsaw.vitalsource.com/books/9781483375038/epub/OEBPS/s9781506300108.i3692.xhtml" TargetMode="External"/><Relationship Id="rId13" Type="http://schemas.openxmlformats.org/officeDocument/2006/relationships/hyperlink" Target="https://jigsaw.vitalsource.com/books/9781483375038/epub/OEBPS/s9781506300108.i3692.xhtml" TargetMode="External"/><Relationship Id="rId18" Type="http://schemas.openxmlformats.org/officeDocument/2006/relationships/hyperlink" Target="https://jigsaw.vitalsource.com/books/9781483375038/epub/OEBPS/s9781506300108.i3692.xhtml" TargetMode="External"/><Relationship Id="rId39" Type="http://schemas.openxmlformats.org/officeDocument/2006/relationships/hyperlink" Target="https://jigsaw.vitalsource.com/books/9781483375038/epub/OEBPS/s9781506300108.i3692.xhtml" TargetMode="External"/><Relationship Id="rId34" Type="http://schemas.openxmlformats.org/officeDocument/2006/relationships/hyperlink" Target="https://jigsaw.vitalsource.com/books/9781483375038/epub/OEBPS/s9781506300108.i3692.xhtml" TargetMode="External"/><Relationship Id="rId50" Type="http://schemas.openxmlformats.org/officeDocument/2006/relationships/hyperlink" Target="https://jigsaw.vitalsource.com/books/9781483375038/epub/OEBPS/s9781506300108.i3692.xhtml" TargetMode="External"/><Relationship Id="rId55" Type="http://schemas.openxmlformats.org/officeDocument/2006/relationships/hyperlink" Target="https://jigsaw.vitalsource.com/books/9781483375038/epub/OEBPS/s9781506300108.i3692.xhtml" TargetMode="External"/><Relationship Id="rId76" Type="http://schemas.openxmlformats.org/officeDocument/2006/relationships/hyperlink" Target="https://jigsaw.vitalsource.com/books/9781483375038/epub/OEBPS/s9781506300108.i3692.xhtml" TargetMode="External"/><Relationship Id="rId7" Type="http://schemas.openxmlformats.org/officeDocument/2006/relationships/hyperlink" Target="https://jigsaw.vitalsource.com/books/9781483375038/epub/OEBPS/s9781506300108.i980.xhtml" TargetMode="External"/><Relationship Id="rId71" Type="http://schemas.openxmlformats.org/officeDocument/2006/relationships/hyperlink" Target="https://jigsaw.vitalsource.com/books/9781483375038/epub/OEBPS/s9781506300108.i3692.xhtml" TargetMode="External"/><Relationship Id="rId2" Type="http://schemas.openxmlformats.org/officeDocument/2006/relationships/styles" Target="styles.xml"/><Relationship Id="rId29" Type="http://schemas.openxmlformats.org/officeDocument/2006/relationships/hyperlink" Target="https://jigsaw.vitalsource.com/books/9781483375038/epub/OEBPS/s9781506300108.i3692.xhtml" TargetMode="External"/><Relationship Id="rId24" Type="http://schemas.openxmlformats.org/officeDocument/2006/relationships/hyperlink" Target="https://jigsaw.vitalsource.com/books/9781483375038/epub/OEBPS/s9781506300108.i3692.xhtml" TargetMode="External"/><Relationship Id="rId40" Type="http://schemas.openxmlformats.org/officeDocument/2006/relationships/hyperlink" Target="https://jigsaw.vitalsource.com/books/9781483375038/epub/OEBPS/s9781506300108.i3692.xhtml" TargetMode="External"/><Relationship Id="rId45" Type="http://schemas.openxmlformats.org/officeDocument/2006/relationships/hyperlink" Target="https://jigsaw.vitalsource.com/books/9781483375038/epub/OEBPS/s9781506300108.i3692.xhtml" TargetMode="External"/><Relationship Id="rId66" Type="http://schemas.openxmlformats.org/officeDocument/2006/relationships/hyperlink" Target="https://jigsaw.vitalsource.com/books/9781483375038/epub/OEBPS/s9781506300108.i3692.xhtml" TargetMode="External"/><Relationship Id="rId87" Type="http://schemas.openxmlformats.org/officeDocument/2006/relationships/theme" Target="theme/theme1.xml"/><Relationship Id="rId61" Type="http://schemas.openxmlformats.org/officeDocument/2006/relationships/hyperlink" Target="https://jigsaw.vitalsource.com/books/9781483375038/epub/OEBPS/s9781506300108.i3692.xhtml" TargetMode="External"/><Relationship Id="rId8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10366</Words>
  <Characters>59088</Characters>
  <Application>Microsoft Office Word</Application>
  <DocSecurity>0</DocSecurity>
  <Lines>492</Lines>
  <Paragraphs>138</Paragraphs>
  <ScaleCrop>false</ScaleCrop>
  <Company/>
  <LinksUpToDate>false</LinksUpToDate>
  <CharactersWithSpaces>69316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 KrishnaChaitanya</dc:creator>
  <cp:keywords/>
  <dc:description/>
  <cp:lastModifiedBy>Kal, KrishnaChaitanya</cp:lastModifiedBy>
  <cp:revision>2</cp:revision>
  <dcterms:created xsi:type="dcterms:W3CDTF">2020-01-31T16:45:00Z</dcterms:created>
  <dcterms:modified xsi:type="dcterms:W3CDTF">2020-01-31T16:48:00Z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e70ee2-0cb4-4d60-aee5-75ef2c4c8a90_Enabled">
    <vt:lpwstr>True</vt:lpwstr>
  </property>
  <property fmtid="{D5CDD505-2E9C-101B-9397-08002B2CF9AE}" pid="3" name="MSIP_Label_7de70ee2-0cb4-4d60-aee5-75ef2c4c8a90_SiteId">
    <vt:lpwstr>945c199a-83a2-4e80-9f8c-5a91be5752dd</vt:lpwstr>
  </property>
  <property fmtid="{D5CDD505-2E9C-101B-9397-08002B2CF9AE}" pid="4" name="MSIP_Label_7de70ee2-0cb4-4d60-aee5-75ef2c4c8a90_Owner">
    <vt:lpwstr>KrishnaChaitanya_Kal@Dell.com</vt:lpwstr>
  </property>
  <property fmtid="{D5CDD505-2E9C-101B-9397-08002B2CF9AE}" pid="5" name="MSIP_Label_7de70ee2-0cb4-4d60-aee5-75ef2c4c8a90_SetDate">
    <vt:lpwstr>2020-01-31T16:45:51.5092454Z</vt:lpwstr>
  </property>
  <property fmtid="{D5CDD505-2E9C-101B-9397-08002B2CF9AE}" pid="6" name="MSIP_Label_7de70ee2-0cb4-4d60-aee5-75ef2c4c8a90_Name">
    <vt:lpwstr>Internal Use</vt:lpwstr>
  </property>
  <property fmtid="{D5CDD505-2E9C-101B-9397-08002B2CF9AE}" pid="7" name="MSIP_Label_7de70ee2-0cb4-4d60-aee5-75ef2c4c8a90_Application">
    <vt:lpwstr>Microsoft Azure Information Protection</vt:lpwstr>
  </property>
  <property fmtid="{D5CDD505-2E9C-101B-9397-08002B2CF9AE}" pid="8" name="MSIP_Label_7de70ee2-0cb4-4d60-aee5-75ef2c4c8a90_Extended_MSFT_Method">
    <vt:lpwstr>Manual</vt:lpwstr>
  </property>
  <property fmtid="{D5CDD505-2E9C-101B-9397-08002B2CF9AE}" pid="9" name="MSIP_Label_da6fab74-d5af-4af7-a9a4-78d84655a626_Enabled">
    <vt:lpwstr>True</vt:lpwstr>
  </property>
  <property fmtid="{D5CDD505-2E9C-101B-9397-08002B2CF9AE}" pid="10" name="MSIP_Label_da6fab74-d5af-4af7-a9a4-78d84655a626_SiteId">
    <vt:lpwstr>945c199a-83a2-4e80-9f8c-5a91be5752dd</vt:lpwstr>
  </property>
  <property fmtid="{D5CDD505-2E9C-101B-9397-08002B2CF9AE}" pid="11" name="MSIP_Label_da6fab74-d5af-4af7-a9a4-78d84655a626_Owner">
    <vt:lpwstr>KrishnaChaitanya_Kal@Dell.com</vt:lpwstr>
  </property>
  <property fmtid="{D5CDD505-2E9C-101B-9397-08002B2CF9AE}" pid="12" name="MSIP_Label_da6fab74-d5af-4af7-a9a4-78d84655a626_SetDate">
    <vt:lpwstr>2020-01-31T16:45:51.5092454Z</vt:lpwstr>
  </property>
  <property fmtid="{D5CDD505-2E9C-101B-9397-08002B2CF9AE}" pid="13" name="MSIP_Label_da6fab74-d5af-4af7-a9a4-78d84655a626_Name">
    <vt:lpwstr>Visual Marking</vt:lpwstr>
  </property>
  <property fmtid="{D5CDD505-2E9C-101B-9397-08002B2CF9AE}" pid="14" name="MSIP_Label_da6fab74-d5af-4af7-a9a4-78d84655a626_Application">
    <vt:lpwstr>Microsoft Azure Information Protection</vt:lpwstr>
  </property>
  <property fmtid="{D5CDD505-2E9C-101B-9397-08002B2CF9AE}" pid="15" name="MSIP_Label_da6fab74-d5af-4af7-a9a4-78d84655a626_Parent">
    <vt:lpwstr>7de70ee2-0cb4-4d60-aee5-75ef2c4c8a90</vt:lpwstr>
  </property>
  <property fmtid="{D5CDD505-2E9C-101B-9397-08002B2CF9AE}" pid="16" name="MSIP_Label_da6fab74-d5af-4af7-a9a4-78d84655a626_Extended_MSFT_Method">
    <vt:lpwstr>Manual</vt:lpwstr>
  </property>
  <property fmtid="{D5CDD505-2E9C-101B-9397-08002B2CF9AE}" pid="17" name="aiplabel">
    <vt:lpwstr>Internal Use Visual Marking</vt:lpwstr>
  </property>
</Properties>
</file>